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13" w:rsidRDefault="00EB2D13" w:rsidP="00532DF0">
      <w:pPr>
        <w:pStyle w:val="NormlWeb"/>
        <w:spacing w:before="0" w:beforeAutospacing="0" w:after="0" w:afterAutospacing="0"/>
        <w:rPr>
          <w:b/>
        </w:rPr>
      </w:pPr>
      <w:r w:rsidRPr="00772213">
        <w:rPr>
          <w:b/>
        </w:rPr>
        <w:t xml:space="preserve">Pályázat </w:t>
      </w:r>
      <w:r w:rsidR="00772213" w:rsidRPr="00772213">
        <w:rPr>
          <w:b/>
        </w:rPr>
        <w:t xml:space="preserve">önálló karrierjüket megszilárdító </w:t>
      </w:r>
      <w:r w:rsidR="00772213">
        <w:rPr>
          <w:b/>
        </w:rPr>
        <w:t xml:space="preserve">kutatók kutatási programjainak </w:t>
      </w:r>
      <w:r w:rsidRPr="00772213">
        <w:rPr>
          <w:b/>
        </w:rPr>
        <w:t>támogatására</w:t>
      </w:r>
      <w:r w:rsidR="00772213">
        <w:rPr>
          <w:b/>
        </w:rPr>
        <w:t xml:space="preserve"> – </w:t>
      </w:r>
    </w:p>
    <w:p w:rsidR="00EB2D13" w:rsidRPr="00772213" w:rsidRDefault="00EB2D13" w:rsidP="00532DF0">
      <w:pPr>
        <w:pStyle w:val="NormlWeb"/>
        <w:spacing w:before="0" w:beforeAutospacing="0" w:after="0" w:afterAutospacing="0"/>
        <w:rPr>
          <w:b/>
        </w:rPr>
      </w:pPr>
      <w:r w:rsidRPr="00772213">
        <w:rPr>
          <w:b/>
        </w:rPr>
        <w:t xml:space="preserve">Horizont 2020 European Research Council (ERC) </w:t>
      </w:r>
      <w:r w:rsidR="00772213" w:rsidRPr="00772213">
        <w:rPr>
          <w:b/>
        </w:rPr>
        <w:t>Consolidator Grant</w:t>
      </w:r>
      <w:r w:rsidRPr="00772213">
        <w:rPr>
          <w:b/>
        </w:rPr>
        <w:t xml:space="preserve"> (</w:t>
      </w:r>
      <w:r w:rsidR="00772213" w:rsidRPr="00772213">
        <w:rPr>
          <w:b/>
        </w:rPr>
        <w:t>Co</w:t>
      </w:r>
      <w:r w:rsidRPr="00772213">
        <w:rPr>
          <w:b/>
        </w:rPr>
        <w:t>G)</w:t>
      </w:r>
    </w:p>
    <w:p w:rsidR="00A97191" w:rsidRDefault="00A97191" w:rsidP="00A97191">
      <w:pPr>
        <w:pStyle w:val="Norm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Készítette: </w:t>
      </w:r>
      <w:proofErr w:type="spellStart"/>
      <w:r>
        <w:rPr>
          <w:sz w:val="22"/>
          <w:szCs w:val="22"/>
        </w:rPr>
        <w:t>Berlingerné</w:t>
      </w:r>
      <w:proofErr w:type="spellEnd"/>
      <w:r>
        <w:rPr>
          <w:sz w:val="22"/>
          <w:szCs w:val="22"/>
        </w:rPr>
        <w:t xml:space="preserve"> Kiss Orsolya, ELTE Természettudományi Kar (372-2500/6179, </w:t>
      </w:r>
      <w:hyperlink r:id="rId6" w:history="1">
        <w:r w:rsidRPr="00132434">
          <w:rPr>
            <w:rStyle w:val="Hiperhivatkozs"/>
            <w:sz w:val="22"/>
            <w:szCs w:val="22"/>
          </w:rPr>
          <w:t>orsolya.kiss@ttk.elte.hu</w:t>
        </w:r>
      </w:hyperlink>
      <w:r>
        <w:rPr>
          <w:sz w:val="22"/>
          <w:szCs w:val="22"/>
        </w:rPr>
        <w:t>)</w:t>
      </w:r>
    </w:p>
    <w:p w:rsidR="00931CD3" w:rsidRPr="00B30F32" w:rsidRDefault="00931CD3" w:rsidP="00F478FF">
      <w:pPr>
        <w:pStyle w:val="NormlWeb"/>
        <w:rPr>
          <w:sz w:val="22"/>
          <w:szCs w:val="22"/>
        </w:rPr>
      </w:pPr>
      <w:bookmarkStart w:id="0" w:name="_GoBack"/>
      <w:bookmarkEnd w:id="0"/>
      <w:r w:rsidRPr="00B30F32">
        <w:rPr>
          <w:sz w:val="22"/>
          <w:szCs w:val="22"/>
        </w:rPr>
        <w:t>Az Európai Bizottság közzétette a</w:t>
      </w:r>
      <w:r w:rsidR="00F97787" w:rsidRPr="00B30F32">
        <w:rPr>
          <w:sz w:val="22"/>
          <w:szCs w:val="22"/>
        </w:rPr>
        <w:t>z ERC Co</w:t>
      </w:r>
      <w:r w:rsidRPr="00B30F32">
        <w:rPr>
          <w:sz w:val="22"/>
          <w:szCs w:val="22"/>
        </w:rPr>
        <w:t>G pályázati felhívást fiatal</w:t>
      </w:r>
      <w:r w:rsidR="00F97787" w:rsidRPr="00B30F32">
        <w:rPr>
          <w:sz w:val="22"/>
          <w:szCs w:val="22"/>
        </w:rPr>
        <w:t>, de már önálló kutatócsoporttal, független kutatási programmal rendelkező</w:t>
      </w:r>
      <w:r w:rsidRPr="00B30F32">
        <w:rPr>
          <w:sz w:val="22"/>
          <w:szCs w:val="22"/>
        </w:rPr>
        <w:t xml:space="preserve"> kutatók támogatására a Horizont 2020 kutatási és innovációs keretprogram „Kiváló tudomány” pillérének keretében.</w:t>
      </w:r>
    </w:p>
    <w:p w:rsidR="00931CD3" w:rsidRPr="00B30F32" w:rsidRDefault="00931CD3" w:rsidP="00931CD3">
      <w:pPr>
        <w:pStyle w:val="NormlWeb"/>
        <w:rPr>
          <w:b/>
          <w:sz w:val="22"/>
          <w:szCs w:val="22"/>
        </w:rPr>
      </w:pPr>
      <w:r w:rsidRPr="00B30F32">
        <w:rPr>
          <w:sz w:val="22"/>
          <w:szCs w:val="22"/>
        </w:rPr>
        <w:t xml:space="preserve">A pályázat kódja: </w:t>
      </w:r>
      <w:r w:rsidR="00772213" w:rsidRPr="00B30F32">
        <w:rPr>
          <w:b/>
          <w:sz w:val="22"/>
          <w:szCs w:val="22"/>
        </w:rPr>
        <w:t>ERC-2015-Co</w:t>
      </w:r>
      <w:r w:rsidRPr="00B30F32">
        <w:rPr>
          <w:b/>
          <w:sz w:val="22"/>
          <w:szCs w:val="22"/>
        </w:rPr>
        <w:t>G</w:t>
      </w:r>
    </w:p>
    <w:p w:rsidR="00630152" w:rsidRPr="00B30F32" w:rsidRDefault="00630152" w:rsidP="00931CD3">
      <w:pPr>
        <w:pStyle w:val="NormlWeb"/>
        <w:rPr>
          <w:b/>
          <w:sz w:val="22"/>
          <w:szCs w:val="22"/>
        </w:rPr>
      </w:pPr>
      <w:r w:rsidRPr="00B30F32">
        <w:rPr>
          <w:b/>
          <w:sz w:val="22"/>
          <w:szCs w:val="22"/>
        </w:rPr>
        <w:t xml:space="preserve">Pályázat tárgya: </w:t>
      </w:r>
    </w:p>
    <w:p w:rsidR="00630152" w:rsidRPr="00B30F32" w:rsidRDefault="00B60BDC" w:rsidP="00F97787">
      <w:pPr>
        <w:pStyle w:val="NormlWeb"/>
        <w:numPr>
          <w:ilvl w:val="0"/>
          <w:numId w:val="4"/>
        </w:numPr>
        <w:rPr>
          <w:sz w:val="22"/>
          <w:szCs w:val="22"/>
        </w:rPr>
      </w:pPr>
      <w:r w:rsidRPr="00B30F32">
        <w:rPr>
          <w:sz w:val="22"/>
          <w:szCs w:val="22"/>
        </w:rPr>
        <w:t>Az ERC Co</w:t>
      </w:r>
      <w:r w:rsidR="00630152" w:rsidRPr="00B30F32">
        <w:rPr>
          <w:sz w:val="22"/>
          <w:szCs w:val="22"/>
        </w:rPr>
        <w:t>G pályázat keretében fiatal</w:t>
      </w:r>
      <w:r w:rsidR="00F97787" w:rsidRPr="00B30F32">
        <w:rPr>
          <w:sz w:val="22"/>
          <w:szCs w:val="22"/>
        </w:rPr>
        <w:t>,</w:t>
      </w:r>
      <w:r w:rsidR="00630152" w:rsidRPr="00B30F32">
        <w:rPr>
          <w:sz w:val="22"/>
          <w:szCs w:val="22"/>
        </w:rPr>
        <w:t xml:space="preserve"> </w:t>
      </w:r>
      <w:r w:rsidR="00F97787" w:rsidRPr="00B30F32">
        <w:rPr>
          <w:sz w:val="22"/>
          <w:szCs w:val="22"/>
        </w:rPr>
        <w:t>de már önálló kutatócsoporttal, független kutatási programmal rendelkező, de még annak megszilárdításán dolgozó</w:t>
      </w:r>
      <w:r w:rsidR="00DA5F98" w:rsidRPr="00B30F32">
        <w:rPr>
          <w:sz w:val="22"/>
          <w:szCs w:val="22"/>
        </w:rPr>
        <w:t xml:space="preserve"> pályázhatnak max. 2 0</w:t>
      </w:r>
      <w:r w:rsidR="00630152" w:rsidRPr="00B30F32">
        <w:rPr>
          <w:sz w:val="22"/>
          <w:szCs w:val="22"/>
        </w:rPr>
        <w:t>00 000 euró támogatásra, legfeljebb 5 éves kutatási tervvel.</w:t>
      </w:r>
    </w:p>
    <w:p w:rsidR="009A31CB" w:rsidRPr="00B30F32" w:rsidRDefault="00C66DF2" w:rsidP="00F478FF">
      <w:pPr>
        <w:pStyle w:val="NormlWeb"/>
        <w:rPr>
          <w:sz w:val="22"/>
          <w:szCs w:val="22"/>
        </w:rPr>
      </w:pPr>
      <w:r w:rsidRPr="00B30F32">
        <w:rPr>
          <w:b/>
          <w:sz w:val="22"/>
          <w:szCs w:val="22"/>
        </w:rPr>
        <w:t>Pályáza</w:t>
      </w:r>
      <w:r w:rsidR="00523BD1" w:rsidRPr="00B30F32">
        <w:rPr>
          <w:b/>
          <w:sz w:val="22"/>
          <w:szCs w:val="22"/>
        </w:rPr>
        <w:t>t</w:t>
      </w:r>
      <w:r w:rsidRPr="00B30F32">
        <w:rPr>
          <w:b/>
          <w:sz w:val="22"/>
          <w:szCs w:val="22"/>
        </w:rPr>
        <w:t xml:space="preserve"> célja</w:t>
      </w:r>
      <w:r w:rsidRPr="00B30F32">
        <w:rPr>
          <w:sz w:val="22"/>
          <w:szCs w:val="22"/>
        </w:rPr>
        <w:t xml:space="preserve">: </w:t>
      </w:r>
      <w:r w:rsidR="00F478FF" w:rsidRPr="00B30F32">
        <w:rPr>
          <w:sz w:val="22"/>
          <w:szCs w:val="22"/>
        </w:rPr>
        <w:t>  </w:t>
      </w:r>
    </w:p>
    <w:p w:rsidR="000B6E6E" w:rsidRPr="00B30F32" w:rsidRDefault="000B6E6E" w:rsidP="000B6E6E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lang w:eastAsia="hu-HU"/>
        </w:rPr>
      </w:pPr>
      <w:r w:rsidRPr="00B30F32">
        <w:rPr>
          <w:rFonts w:ascii="Times New Roman" w:eastAsia="Times New Roman" w:hAnsi="Times New Roman" w:cs="Times New Roman"/>
          <w:lang w:eastAsia="hu-HU"/>
        </w:rPr>
        <w:t>Az ERC CoG célja, hogy fiatal, már önálló kutatócsoporttal, kutatási programmal rendelkező, de még annak megszilárdításán dolgozó kutatóknak, kiemelkedő felfedezést vagy tudományos áttörés ígéretét hordozó, megvalósítható legfeljebb 5 éves kutatási tervvel.</w:t>
      </w:r>
    </w:p>
    <w:p w:rsidR="009A31CB" w:rsidRPr="00B30F32" w:rsidRDefault="00C66DF2" w:rsidP="00F478FF">
      <w:pPr>
        <w:pStyle w:val="NormlWeb"/>
        <w:rPr>
          <w:sz w:val="22"/>
          <w:szCs w:val="22"/>
        </w:rPr>
      </w:pPr>
      <w:r w:rsidRPr="00B30F32">
        <w:rPr>
          <w:b/>
          <w:sz w:val="22"/>
          <w:szCs w:val="22"/>
        </w:rPr>
        <w:t>Pályázó kutató</w:t>
      </w:r>
      <w:r w:rsidR="00B33493" w:rsidRPr="00B30F32">
        <w:rPr>
          <w:b/>
          <w:sz w:val="22"/>
          <w:szCs w:val="22"/>
        </w:rPr>
        <w:t xml:space="preserve"> (</w:t>
      </w:r>
      <w:r w:rsidR="0018081D" w:rsidRPr="00B30F32">
        <w:rPr>
          <w:b/>
          <w:sz w:val="22"/>
          <w:szCs w:val="22"/>
        </w:rPr>
        <w:t xml:space="preserve">Vezető Kutató, </w:t>
      </w:r>
      <w:r w:rsidR="00B33493" w:rsidRPr="00B30F32">
        <w:rPr>
          <w:b/>
          <w:sz w:val="22"/>
          <w:szCs w:val="22"/>
        </w:rPr>
        <w:t>Principal Investigator, PI)</w:t>
      </w:r>
      <w:r w:rsidRPr="00B30F32">
        <w:rPr>
          <w:sz w:val="22"/>
          <w:szCs w:val="22"/>
        </w:rPr>
        <w:t xml:space="preserve">: </w:t>
      </w:r>
    </w:p>
    <w:p w:rsidR="00957B03" w:rsidRPr="00B30F32" w:rsidRDefault="00B60BDC" w:rsidP="00B30F32">
      <w:pPr>
        <w:pStyle w:val="NormlWeb"/>
        <w:numPr>
          <w:ilvl w:val="0"/>
          <w:numId w:val="2"/>
        </w:numPr>
        <w:rPr>
          <w:sz w:val="22"/>
          <w:szCs w:val="22"/>
        </w:rPr>
      </w:pPr>
      <w:r w:rsidRPr="00B30F32">
        <w:rPr>
          <w:sz w:val="22"/>
          <w:szCs w:val="22"/>
        </w:rPr>
        <w:t>A Co</w:t>
      </w:r>
      <w:r w:rsidR="00F06C6A" w:rsidRPr="00B30F32">
        <w:rPr>
          <w:sz w:val="22"/>
          <w:szCs w:val="22"/>
        </w:rPr>
        <w:t xml:space="preserve">G olyan projekteket támogat, amelyeket egyéni kutatói csapatok végeznek, élükön egy </w:t>
      </w:r>
      <w:r w:rsidR="00D41019" w:rsidRPr="00B30F32">
        <w:rPr>
          <w:sz w:val="22"/>
          <w:szCs w:val="22"/>
        </w:rPr>
        <w:t xml:space="preserve">kiváló </w:t>
      </w:r>
      <w:r w:rsidR="00F06C6A" w:rsidRPr="00B30F32">
        <w:rPr>
          <w:sz w:val="22"/>
          <w:szCs w:val="22"/>
        </w:rPr>
        <w:t>vezető kutatóval (PI)</w:t>
      </w:r>
      <w:r w:rsidR="00B30F32" w:rsidRPr="00B30F32">
        <w:rPr>
          <w:sz w:val="22"/>
          <w:szCs w:val="22"/>
        </w:rPr>
        <w:t>. *</w:t>
      </w:r>
    </w:p>
    <w:p w:rsidR="00957B03" w:rsidRPr="00B30F32" w:rsidRDefault="00F06C6A" w:rsidP="00957B03">
      <w:pPr>
        <w:pStyle w:val="NormlWeb"/>
        <w:numPr>
          <w:ilvl w:val="0"/>
          <w:numId w:val="2"/>
        </w:numPr>
        <w:rPr>
          <w:sz w:val="22"/>
          <w:szCs w:val="22"/>
        </w:rPr>
      </w:pPr>
      <w:r w:rsidRPr="00B30F32">
        <w:rPr>
          <w:sz w:val="22"/>
          <w:szCs w:val="22"/>
        </w:rPr>
        <w:t xml:space="preserve">A vezető kutató (PI) az első </w:t>
      </w:r>
      <w:r w:rsidR="0077000F" w:rsidRPr="00B30F32">
        <w:rPr>
          <w:sz w:val="22"/>
          <w:szCs w:val="22"/>
        </w:rPr>
        <w:t xml:space="preserve">PhD </w:t>
      </w:r>
      <w:r w:rsidR="00C66DF2" w:rsidRPr="00B30F32">
        <w:rPr>
          <w:sz w:val="22"/>
          <w:szCs w:val="22"/>
        </w:rPr>
        <w:t>fokozat</w:t>
      </w:r>
      <w:r w:rsidRPr="00B30F32">
        <w:rPr>
          <w:sz w:val="22"/>
          <w:szCs w:val="22"/>
        </w:rPr>
        <w:t>át</w:t>
      </w:r>
      <w:r w:rsidR="00E54C84" w:rsidRPr="00B30F32">
        <w:rPr>
          <w:sz w:val="22"/>
          <w:szCs w:val="22"/>
        </w:rPr>
        <w:t xml:space="preserve"> 2015. január 1-jét megelőzően </w:t>
      </w:r>
      <w:r w:rsidRPr="00B30F32">
        <w:rPr>
          <w:sz w:val="22"/>
          <w:szCs w:val="22"/>
        </w:rPr>
        <w:t>legalább</w:t>
      </w:r>
      <w:r w:rsidR="00C66DF2" w:rsidRPr="00B30F32">
        <w:rPr>
          <w:sz w:val="22"/>
          <w:szCs w:val="22"/>
        </w:rPr>
        <w:t xml:space="preserve"> </w:t>
      </w:r>
      <w:r w:rsidR="00B60BDC" w:rsidRPr="00B30F32">
        <w:rPr>
          <w:sz w:val="22"/>
          <w:szCs w:val="22"/>
        </w:rPr>
        <w:t>7</w:t>
      </w:r>
      <w:r w:rsidRPr="00B30F32">
        <w:rPr>
          <w:sz w:val="22"/>
          <w:szCs w:val="22"/>
        </w:rPr>
        <w:t xml:space="preserve"> éve, de legfeljebb</w:t>
      </w:r>
      <w:r w:rsidR="00C66DF2" w:rsidRPr="00B30F32">
        <w:rPr>
          <w:sz w:val="22"/>
          <w:szCs w:val="22"/>
        </w:rPr>
        <w:t xml:space="preserve"> </w:t>
      </w:r>
      <w:r w:rsidR="00B60BDC" w:rsidRPr="00B30F32">
        <w:rPr>
          <w:sz w:val="22"/>
          <w:szCs w:val="22"/>
        </w:rPr>
        <w:t>12</w:t>
      </w:r>
      <w:r w:rsidR="00C66DF2" w:rsidRPr="00B30F32">
        <w:rPr>
          <w:sz w:val="22"/>
          <w:szCs w:val="22"/>
        </w:rPr>
        <w:t xml:space="preserve"> éve szerezte </w:t>
      </w:r>
      <w:r w:rsidRPr="00B30F32">
        <w:rPr>
          <w:sz w:val="22"/>
          <w:szCs w:val="22"/>
        </w:rPr>
        <w:t xml:space="preserve">meg. </w:t>
      </w:r>
    </w:p>
    <w:p w:rsidR="00957B03" w:rsidRPr="00B30F32" w:rsidRDefault="0018081D" w:rsidP="00957B03">
      <w:pPr>
        <w:pStyle w:val="NormlWeb"/>
        <w:numPr>
          <w:ilvl w:val="0"/>
          <w:numId w:val="2"/>
        </w:numPr>
        <w:rPr>
          <w:sz w:val="22"/>
          <w:szCs w:val="22"/>
        </w:rPr>
      </w:pPr>
      <w:r w:rsidRPr="00B30F32">
        <w:rPr>
          <w:sz w:val="22"/>
          <w:szCs w:val="22"/>
        </w:rPr>
        <w:t xml:space="preserve">elvárás: </w:t>
      </w:r>
      <w:r w:rsidR="00A02339" w:rsidRPr="00B30F32">
        <w:rPr>
          <w:sz w:val="22"/>
          <w:szCs w:val="22"/>
        </w:rPr>
        <w:t>független kutatói karrier, számos önálló, jelentős publikáció</w:t>
      </w:r>
      <w:r w:rsidR="009A31CB" w:rsidRPr="00B30F32">
        <w:rPr>
          <w:sz w:val="22"/>
          <w:szCs w:val="22"/>
        </w:rPr>
        <w:t xml:space="preserve"> a PhD témavezető nélkül</w:t>
      </w:r>
      <w:r w:rsidR="00523BD1" w:rsidRPr="00B30F32">
        <w:rPr>
          <w:sz w:val="22"/>
          <w:szCs w:val="22"/>
        </w:rPr>
        <w:t>.</w:t>
      </w:r>
      <w:r w:rsidR="00B64ADD" w:rsidRPr="00B30F32">
        <w:rPr>
          <w:sz w:val="22"/>
          <w:szCs w:val="22"/>
        </w:rPr>
        <w:t xml:space="preserve"> </w:t>
      </w:r>
    </w:p>
    <w:p w:rsidR="00957B03" w:rsidRPr="00B30F32" w:rsidRDefault="00473DA2" w:rsidP="00A702DF">
      <w:pPr>
        <w:pStyle w:val="NormlWeb"/>
        <w:numPr>
          <w:ilvl w:val="0"/>
          <w:numId w:val="2"/>
        </w:numPr>
        <w:rPr>
          <w:sz w:val="22"/>
          <w:szCs w:val="22"/>
        </w:rPr>
      </w:pPr>
      <w:r w:rsidRPr="00B30F32">
        <w:rPr>
          <w:sz w:val="22"/>
          <w:szCs w:val="22"/>
        </w:rPr>
        <w:t>ígéretes pályaív (</w:t>
      </w:r>
      <w:r w:rsidR="00523BD1" w:rsidRPr="00B30F32">
        <w:rPr>
          <w:sz w:val="22"/>
          <w:szCs w:val="22"/>
        </w:rPr>
        <w:t>A pályázat benyújtásakor a pályázónak</w:t>
      </w:r>
      <w:r w:rsidR="00B33493" w:rsidRPr="00B30F32">
        <w:rPr>
          <w:sz w:val="22"/>
          <w:szCs w:val="22"/>
        </w:rPr>
        <w:t xml:space="preserve"> (PI)</w:t>
      </w:r>
      <w:r w:rsidR="00523BD1" w:rsidRPr="00B30F32">
        <w:rPr>
          <w:sz w:val="22"/>
          <w:szCs w:val="22"/>
        </w:rPr>
        <w:t xml:space="preserve"> fel kell sorolnia </w:t>
      </w:r>
      <w:r w:rsidR="009E45A0" w:rsidRPr="00B30F32">
        <w:rPr>
          <w:sz w:val="22"/>
          <w:szCs w:val="22"/>
        </w:rPr>
        <w:t>tíz</w:t>
      </w:r>
      <w:r w:rsidR="00AB1ED4" w:rsidRPr="00B30F32">
        <w:rPr>
          <w:sz w:val="22"/>
          <w:szCs w:val="22"/>
        </w:rPr>
        <w:t>,</w:t>
      </w:r>
      <w:r w:rsidR="009E45A0" w:rsidRPr="00B30F32">
        <w:rPr>
          <w:sz w:val="22"/>
          <w:szCs w:val="22"/>
        </w:rPr>
        <w:t xml:space="preserve"> </w:t>
      </w:r>
      <w:r w:rsidR="00AB1ED4" w:rsidRPr="00B30F32">
        <w:rPr>
          <w:sz w:val="22"/>
          <w:szCs w:val="22"/>
        </w:rPr>
        <w:t xml:space="preserve">magasan jegyzett multidiszciplináris tudományos </w:t>
      </w:r>
      <w:r w:rsidR="00523BD1" w:rsidRPr="00B30F32">
        <w:rPr>
          <w:sz w:val="22"/>
          <w:szCs w:val="22"/>
        </w:rPr>
        <w:t xml:space="preserve">folyóiratban </w:t>
      </w:r>
      <w:r w:rsidR="00AB1ED4" w:rsidRPr="00B30F32">
        <w:rPr>
          <w:sz w:val="22"/>
          <w:szCs w:val="22"/>
        </w:rPr>
        <w:t xml:space="preserve">és/vagy vezető szaklapokban, </w:t>
      </w:r>
      <w:r w:rsidR="009E45A0" w:rsidRPr="00B30F32">
        <w:rPr>
          <w:sz w:val="22"/>
          <w:szCs w:val="22"/>
        </w:rPr>
        <w:t xml:space="preserve">az adott szakterületen legjelentősebb </w:t>
      </w:r>
      <w:r w:rsidR="00523BD1" w:rsidRPr="00B30F32">
        <w:rPr>
          <w:sz w:val="22"/>
          <w:szCs w:val="22"/>
        </w:rPr>
        <w:t xml:space="preserve">konferencia kiadványban megjelent </w:t>
      </w:r>
      <w:r w:rsidR="009E45A0" w:rsidRPr="00B30F32">
        <w:rPr>
          <w:sz w:val="22"/>
          <w:szCs w:val="22"/>
        </w:rPr>
        <w:t>reprezentatív publikációt</w:t>
      </w:r>
      <w:r w:rsidR="00523BD1" w:rsidRPr="00B30F32">
        <w:rPr>
          <w:sz w:val="22"/>
          <w:szCs w:val="22"/>
        </w:rPr>
        <w:t xml:space="preserve"> és azok citációs indexét; bejegyzett szabadal</w:t>
      </w:r>
      <w:r w:rsidR="0039247F" w:rsidRPr="00B30F32">
        <w:rPr>
          <w:sz w:val="22"/>
          <w:szCs w:val="22"/>
        </w:rPr>
        <w:t>mat</w:t>
      </w:r>
      <w:r w:rsidR="00523BD1" w:rsidRPr="00B30F32">
        <w:rPr>
          <w:sz w:val="22"/>
          <w:szCs w:val="22"/>
        </w:rPr>
        <w:t xml:space="preserve">; </w:t>
      </w:r>
      <w:r w:rsidR="00A702DF" w:rsidRPr="00B30F32">
        <w:rPr>
          <w:sz w:val="22"/>
          <w:szCs w:val="22"/>
        </w:rPr>
        <w:t xml:space="preserve">jelentős </w:t>
      </w:r>
      <w:r w:rsidR="00523BD1" w:rsidRPr="00B30F32">
        <w:rPr>
          <w:sz w:val="22"/>
          <w:szCs w:val="22"/>
        </w:rPr>
        <w:t>nemzetközi konferencia előadásokat meghívott előadóként; nemzetközi oktatói tevékenységét; díjakat és kitüntetéseket.</w:t>
      </w:r>
      <w:r w:rsidR="00A702DF" w:rsidRPr="00B30F32">
        <w:rPr>
          <w:sz w:val="22"/>
          <w:szCs w:val="22"/>
        </w:rPr>
        <w:t>)</w:t>
      </w:r>
    </w:p>
    <w:p w:rsidR="0018081D" w:rsidRPr="00B30F32" w:rsidRDefault="002A6443" w:rsidP="0018081D">
      <w:pPr>
        <w:pStyle w:val="NormlWeb"/>
        <w:numPr>
          <w:ilvl w:val="0"/>
          <w:numId w:val="2"/>
        </w:numPr>
        <w:rPr>
          <w:sz w:val="22"/>
          <w:szCs w:val="22"/>
        </w:rPr>
      </w:pPr>
      <w:r w:rsidRPr="00B30F32">
        <w:rPr>
          <w:sz w:val="22"/>
          <w:szCs w:val="22"/>
        </w:rPr>
        <w:t xml:space="preserve">Az értékelésnél kulcsfontosságú a PI elkötelezettsége, és ezt bizonyítandó a kutatási projektre szánt idő mértéke. Ezért a teljes munkaidejének legalább </w:t>
      </w:r>
      <w:r w:rsidR="009853E6" w:rsidRPr="00B30F32">
        <w:rPr>
          <w:sz w:val="22"/>
          <w:szCs w:val="22"/>
        </w:rPr>
        <w:t>4</w:t>
      </w:r>
      <w:r w:rsidRPr="00B30F32">
        <w:rPr>
          <w:sz w:val="22"/>
          <w:szCs w:val="22"/>
        </w:rPr>
        <w:t>0%-át a projektre kell fordítania, illetve a teljes munkaidejének legalább 50%-át egy EU tagországban vagy társult országban kell töltenie.</w:t>
      </w:r>
      <w:r w:rsidR="00473DA2" w:rsidRPr="00B30F32">
        <w:rPr>
          <w:sz w:val="22"/>
          <w:szCs w:val="22"/>
        </w:rPr>
        <w:t xml:space="preserve"> </w:t>
      </w:r>
    </w:p>
    <w:p w:rsidR="00B30F32" w:rsidRPr="00B30F32" w:rsidRDefault="00B30F32" w:rsidP="00B30F32">
      <w:pPr>
        <w:pStyle w:val="NormlWeb"/>
        <w:numPr>
          <w:ilvl w:val="0"/>
          <w:numId w:val="2"/>
        </w:numPr>
        <w:rPr>
          <w:sz w:val="22"/>
          <w:szCs w:val="22"/>
        </w:rPr>
      </w:pPr>
      <w:r w:rsidRPr="00B30F32">
        <w:rPr>
          <w:sz w:val="22"/>
          <w:szCs w:val="22"/>
        </w:rPr>
        <w:t>PI által beadott pályázat lehetséges minősítése: A</w:t>
      </w:r>
      <w:proofErr w:type="gramStart"/>
      <w:r w:rsidRPr="00B30F32">
        <w:rPr>
          <w:sz w:val="22"/>
          <w:szCs w:val="22"/>
        </w:rPr>
        <w:t>,B</w:t>
      </w:r>
      <w:proofErr w:type="gramEnd"/>
      <w:r w:rsidRPr="00B30F32">
        <w:rPr>
          <w:sz w:val="22"/>
          <w:szCs w:val="22"/>
        </w:rPr>
        <w:t>,C („A” kiváló pályázat, „C” minősítésű pályázatókat beadók 2 évig,  „B” minősítésű pályázatot beadók 1 évig nem pályázhatnak újra)</w:t>
      </w:r>
    </w:p>
    <w:p w:rsidR="00B30F32" w:rsidRPr="00481F6C" w:rsidRDefault="00B30F32" w:rsidP="00B30F32">
      <w:pPr>
        <w:pStyle w:val="NormlWeb"/>
        <w:rPr>
          <w:sz w:val="18"/>
          <w:szCs w:val="18"/>
        </w:rPr>
      </w:pPr>
      <w:r w:rsidRPr="00481F6C">
        <w:rPr>
          <w:sz w:val="18"/>
          <w:szCs w:val="18"/>
        </w:rPr>
        <w:lastRenderedPageBreak/>
        <w:t>*A kutatócsoport nemzeti</w:t>
      </w:r>
      <w:r>
        <w:rPr>
          <w:sz w:val="18"/>
          <w:szCs w:val="18"/>
        </w:rPr>
        <w:t xml:space="preserve"> </w:t>
      </w:r>
      <w:r w:rsidRPr="00481F6C">
        <w:rPr>
          <w:sz w:val="18"/>
          <w:szCs w:val="18"/>
        </w:rPr>
        <w:t>vagy transznacionális jellegű, ami alapvetően eltér a hagyományos „hálózat” vagy „kutatás</w:t>
      </w:r>
      <w:r>
        <w:rPr>
          <w:sz w:val="18"/>
          <w:szCs w:val="18"/>
        </w:rPr>
        <w:t>i</w:t>
      </w:r>
      <w:r w:rsidRPr="00481F6C">
        <w:rPr>
          <w:sz w:val="18"/>
          <w:szCs w:val="18"/>
        </w:rPr>
        <w:t xml:space="preserve"> </w:t>
      </w:r>
      <w:r>
        <w:rPr>
          <w:sz w:val="18"/>
          <w:szCs w:val="18"/>
        </w:rPr>
        <w:t>konzorcium</w:t>
      </w:r>
      <w:r w:rsidRPr="00481F6C">
        <w:rPr>
          <w:sz w:val="18"/>
          <w:szCs w:val="18"/>
        </w:rPr>
        <w:t>”</w:t>
      </w:r>
      <w:r>
        <w:rPr>
          <w:sz w:val="18"/>
          <w:szCs w:val="18"/>
        </w:rPr>
        <w:t xml:space="preserve"> megszokott</w:t>
      </w:r>
      <w:r w:rsidRPr="00481F6C">
        <w:rPr>
          <w:sz w:val="18"/>
          <w:szCs w:val="18"/>
        </w:rPr>
        <w:t xml:space="preserve"> formájától</w:t>
      </w:r>
      <w:r>
        <w:rPr>
          <w:sz w:val="18"/>
          <w:szCs w:val="18"/>
        </w:rPr>
        <w:t xml:space="preserve"> (az ERC által finanszírozott kutatások esetében ez a forma nem támogatható, azaz konzorciumi pályázat nem nyújtható be)</w:t>
      </w:r>
      <w:r w:rsidRPr="00481F6C">
        <w:rPr>
          <w:sz w:val="18"/>
          <w:szCs w:val="18"/>
        </w:rPr>
        <w:t>, és bizonyos</w:t>
      </w:r>
      <w:r>
        <w:rPr>
          <w:sz w:val="18"/>
          <w:szCs w:val="18"/>
        </w:rPr>
        <w:t xml:space="preserve"> tudományterületen, mint pl. a ma</w:t>
      </w:r>
      <w:r w:rsidRPr="00481F6C">
        <w:rPr>
          <w:sz w:val="18"/>
          <w:szCs w:val="18"/>
        </w:rPr>
        <w:t>t</w:t>
      </w:r>
      <w:r>
        <w:rPr>
          <w:sz w:val="18"/>
          <w:szCs w:val="18"/>
        </w:rPr>
        <w:t>e</w:t>
      </w:r>
      <w:r w:rsidRPr="00481F6C">
        <w:rPr>
          <w:sz w:val="18"/>
          <w:szCs w:val="18"/>
        </w:rPr>
        <w:t xml:space="preserve">matika vagy humántudományok területe </w:t>
      </w:r>
      <w:r>
        <w:rPr>
          <w:sz w:val="18"/>
          <w:szCs w:val="18"/>
        </w:rPr>
        <w:t>ahol a kutatást általában egyedül, önállóan végzik, ott a „team”, vagyis a kutatócsoport</w:t>
      </w:r>
      <w:r w:rsidRPr="00481F6C">
        <w:rPr>
          <w:sz w:val="18"/>
          <w:szCs w:val="18"/>
        </w:rPr>
        <w:t xml:space="preserve"> kizárólag a PI-ből áll.</w:t>
      </w:r>
    </w:p>
    <w:p w:rsidR="00532DF0" w:rsidRPr="00B30F32" w:rsidRDefault="0018081D" w:rsidP="0018081D">
      <w:pPr>
        <w:pStyle w:val="NormlWeb"/>
        <w:rPr>
          <w:sz w:val="22"/>
          <w:szCs w:val="22"/>
        </w:rPr>
      </w:pPr>
      <w:r w:rsidRPr="00B30F32">
        <w:rPr>
          <w:b/>
          <w:sz w:val="22"/>
          <w:szCs w:val="22"/>
        </w:rPr>
        <w:t>Pályázható összeg</w:t>
      </w:r>
      <w:r w:rsidRPr="00B30F32">
        <w:rPr>
          <w:sz w:val="22"/>
          <w:szCs w:val="22"/>
        </w:rPr>
        <w:t>:</w:t>
      </w:r>
      <w:r w:rsidR="00B60BDC" w:rsidRPr="00B30F32">
        <w:rPr>
          <w:sz w:val="22"/>
          <w:szCs w:val="22"/>
        </w:rPr>
        <w:t xml:space="preserve"> maximum 2 0</w:t>
      </w:r>
      <w:r w:rsidRPr="00B30F32">
        <w:rPr>
          <w:sz w:val="22"/>
          <w:szCs w:val="22"/>
        </w:rPr>
        <w:t>00 000 euró támogatásra, legfeljebb öt éves kutatási tervvel lehet pályázni.</w:t>
      </w:r>
      <w:r w:rsidR="00B60BDC" w:rsidRPr="00B30F32">
        <w:rPr>
          <w:sz w:val="22"/>
          <w:szCs w:val="22"/>
        </w:rPr>
        <w:t xml:space="preserve"> További 75</w:t>
      </w:r>
      <w:r w:rsidRPr="00B30F32">
        <w:rPr>
          <w:sz w:val="22"/>
          <w:szCs w:val="22"/>
        </w:rPr>
        <w:t xml:space="preserve">0 000 euró igényelhető </w:t>
      </w:r>
      <w:r w:rsidR="00012CEB" w:rsidRPr="00B30F32">
        <w:rPr>
          <w:sz w:val="22"/>
          <w:szCs w:val="22"/>
        </w:rPr>
        <w:t xml:space="preserve">„start-up” </w:t>
      </w:r>
      <w:proofErr w:type="gramStart"/>
      <w:r w:rsidR="00012CEB" w:rsidRPr="00B30F32">
        <w:rPr>
          <w:sz w:val="22"/>
          <w:szCs w:val="22"/>
        </w:rPr>
        <w:t>költségekre</w:t>
      </w:r>
      <w:proofErr w:type="gramEnd"/>
      <w:r w:rsidR="00012CEB" w:rsidRPr="00B30F32">
        <w:rPr>
          <w:sz w:val="22"/>
          <w:szCs w:val="22"/>
        </w:rPr>
        <w:t xml:space="preserve"> </w:t>
      </w:r>
      <w:r w:rsidR="00F02026" w:rsidRPr="00B30F32">
        <w:rPr>
          <w:sz w:val="22"/>
          <w:szCs w:val="22"/>
        </w:rPr>
        <w:t>ha</w:t>
      </w:r>
      <w:r w:rsidRPr="00B30F32">
        <w:rPr>
          <w:sz w:val="22"/>
          <w:szCs w:val="22"/>
        </w:rPr>
        <w:t xml:space="preserve"> a vezető k</w:t>
      </w:r>
      <w:r w:rsidR="00012CEB" w:rsidRPr="00B30F32">
        <w:rPr>
          <w:sz w:val="22"/>
          <w:szCs w:val="22"/>
        </w:rPr>
        <w:t>utató (</w:t>
      </w:r>
      <w:r w:rsidRPr="00B30F32">
        <w:rPr>
          <w:sz w:val="22"/>
          <w:szCs w:val="22"/>
        </w:rPr>
        <w:t xml:space="preserve">PI) </w:t>
      </w:r>
      <w:r w:rsidR="00F02026" w:rsidRPr="00B30F32">
        <w:rPr>
          <w:sz w:val="22"/>
          <w:szCs w:val="22"/>
        </w:rPr>
        <w:t xml:space="preserve">Európán kívülről érkezik és </w:t>
      </w:r>
      <w:r w:rsidRPr="00B30F32">
        <w:rPr>
          <w:sz w:val="22"/>
          <w:szCs w:val="22"/>
        </w:rPr>
        <w:t>a pályázat megvalósítása érdekében EU-s tagállamba vagy társult országba költözik, és/vagy nagy értékű berendezést és/vagy jelentős eszközökhöz való hozzáférési jogot vásárol)</w:t>
      </w:r>
      <w:r w:rsidR="00012CEB" w:rsidRPr="00B30F32">
        <w:rPr>
          <w:sz w:val="22"/>
          <w:szCs w:val="22"/>
        </w:rPr>
        <w:t>.</w:t>
      </w:r>
    </w:p>
    <w:p w:rsidR="00B30F32" w:rsidRDefault="00B30F32" w:rsidP="0018081D">
      <w:pPr>
        <w:pStyle w:val="NormlWeb"/>
        <w:rPr>
          <w:b/>
          <w:sz w:val="22"/>
          <w:szCs w:val="22"/>
        </w:rPr>
      </w:pPr>
    </w:p>
    <w:p w:rsidR="00E65B95" w:rsidRPr="00B30F32" w:rsidRDefault="00E65B95" w:rsidP="0018081D">
      <w:pPr>
        <w:pStyle w:val="NormlWeb"/>
        <w:rPr>
          <w:b/>
          <w:sz w:val="22"/>
          <w:szCs w:val="22"/>
        </w:rPr>
      </w:pPr>
      <w:r w:rsidRPr="00B30F32">
        <w:rPr>
          <w:b/>
          <w:sz w:val="22"/>
          <w:szCs w:val="22"/>
        </w:rPr>
        <w:t>A támogatás független a pályázó:</w:t>
      </w:r>
    </w:p>
    <w:p w:rsidR="00E65B95" w:rsidRPr="00B30F32" w:rsidRDefault="00E65B95" w:rsidP="00E65B95">
      <w:pPr>
        <w:pStyle w:val="Norm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B30F32">
        <w:rPr>
          <w:sz w:val="22"/>
          <w:szCs w:val="22"/>
        </w:rPr>
        <w:t>nemzetiségétől, (az EU-n kívülről is érkezhet))</w:t>
      </w:r>
    </w:p>
    <w:p w:rsidR="00E65B95" w:rsidRPr="00B30F32" w:rsidRDefault="00E65B95" w:rsidP="00E65B95">
      <w:pPr>
        <w:pStyle w:val="Norm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B30F32">
        <w:rPr>
          <w:sz w:val="22"/>
          <w:szCs w:val="22"/>
        </w:rPr>
        <w:t>nemétől, és más horizontális szempontoktól</w:t>
      </w:r>
    </w:p>
    <w:p w:rsidR="00E65B95" w:rsidRPr="00B30F32" w:rsidRDefault="00C41A00" w:rsidP="00E65B95">
      <w:pPr>
        <w:pStyle w:val="Norm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B30F32">
        <w:rPr>
          <w:sz w:val="22"/>
          <w:szCs w:val="22"/>
        </w:rPr>
        <w:t xml:space="preserve">jelenlegi </w:t>
      </w:r>
      <w:r w:rsidR="004F614E" w:rsidRPr="00B30F32">
        <w:rPr>
          <w:sz w:val="22"/>
          <w:szCs w:val="22"/>
        </w:rPr>
        <w:t>munkahelyétől</w:t>
      </w:r>
      <w:r w:rsidR="00E65B95" w:rsidRPr="00B30F32">
        <w:rPr>
          <w:sz w:val="22"/>
          <w:szCs w:val="22"/>
        </w:rPr>
        <w:t xml:space="preserve"> (állami kutatóintézet, egyetem, vállalkozás)</w:t>
      </w:r>
    </w:p>
    <w:p w:rsidR="00E65B95" w:rsidRPr="00B30F32" w:rsidRDefault="00E65B95" w:rsidP="00E65B95">
      <w:pPr>
        <w:pStyle w:val="Norm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B30F32">
        <w:rPr>
          <w:sz w:val="22"/>
          <w:szCs w:val="22"/>
        </w:rPr>
        <w:t>nincs társfinanszírozás</w:t>
      </w:r>
    </w:p>
    <w:p w:rsidR="00E65B95" w:rsidRPr="00B30F32" w:rsidRDefault="00C41A00" w:rsidP="00E65B95">
      <w:pPr>
        <w:pStyle w:val="Norm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B30F32">
        <w:rPr>
          <w:sz w:val="22"/>
          <w:szCs w:val="22"/>
        </w:rPr>
        <w:t xml:space="preserve">nem konzorciumi </w:t>
      </w:r>
      <w:r w:rsidR="00E65B95" w:rsidRPr="00B30F32">
        <w:rPr>
          <w:sz w:val="22"/>
          <w:szCs w:val="22"/>
        </w:rPr>
        <w:t>pályázat, alapvetően egy befogadó intézmény, de</w:t>
      </w:r>
    </w:p>
    <w:p w:rsidR="00E65B95" w:rsidRPr="00B30F32" w:rsidRDefault="00E65B95" w:rsidP="00722EC7">
      <w:pPr>
        <w:pStyle w:val="NormlWeb"/>
        <w:spacing w:before="0" w:beforeAutospacing="0" w:after="0" w:afterAutospacing="0"/>
        <w:ind w:left="720"/>
        <w:rPr>
          <w:sz w:val="22"/>
          <w:szCs w:val="22"/>
        </w:rPr>
      </w:pPr>
      <w:proofErr w:type="gramStart"/>
      <w:r w:rsidRPr="00B30F32">
        <w:rPr>
          <w:sz w:val="22"/>
          <w:szCs w:val="22"/>
        </w:rPr>
        <w:t>a</w:t>
      </w:r>
      <w:proofErr w:type="gramEnd"/>
      <w:r w:rsidRPr="00B30F32">
        <w:rPr>
          <w:sz w:val="22"/>
          <w:szCs w:val="22"/>
        </w:rPr>
        <w:t xml:space="preserve"> támogatást (grantet) a PI kapja, akinek nagyfokú önállóságot kell biztosítani</w:t>
      </w:r>
    </w:p>
    <w:p w:rsidR="00E65B95" w:rsidRPr="00B30F32" w:rsidRDefault="0077000F" w:rsidP="00E65B95">
      <w:pPr>
        <w:pStyle w:val="Norm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B30F32">
        <w:rPr>
          <w:sz w:val="22"/>
          <w:szCs w:val="22"/>
        </w:rPr>
        <w:t>hordozható</w:t>
      </w:r>
      <w:r w:rsidR="002F6EB0" w:rsidRPr="00B30F32">
        <w:rPr>
          <w:sz w:val="22"/>
          <w:szCs w:val="22"/>
        </w:rPr>
        <w:t xml:space="preserve"> (teljes támogatás vagy egy része áthelyezhető)</w:t>
      </w:r>
    </w:p>
    <w:p w:rsidR="00E65B95" w:rsidRPr="00B30F32" w:rsidRDefault="00722EC7" w:rsidP="00E65B95">
      <w:pPr>
        <w:pStyle w:val="Norm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B30F32">
        <w:rPr>
          <w:b/>
          <w:sz w:val="22"/>
          <w:szCs w:val="22"/>
        </w:rPr>
        <w:t>A</w:t>
      </w:r>
      <w:r w:rsidR="00E65B95" w:rsidRPr="00B30F32">
        <w:rPr>
          <w:b/>
          <w:sz w:val="22"/>
          <w:szCs w:val="22"/>
        </w:rPr>
        <w:t xml:space="preserve"> befogadó intézmény</w:t>
      </w:r>
      <w:r w:rsidRPr="00B30F32">
        <w:rPr>
          <w:sz w:val="22"/>
          <w:szCs w:val="22"/>
        </w:rPr>
        <w:t xml:space="preserve"> (HI – Host Institution) </w:t>
      </w:r>
      <w:r w:rsidR="00E65B95" w:rsidRPr="00B30F32">
        <w:rPr>
          <w:sz w:val="22"/>
          <w:szCs w:val="22"/>
        </w:rPr>
        <w:t xml:space="preserve">csak az EU + társult </w:t>
      </w:r>
      <w:proofErr w:type="gramStart"/>
      <w:r w:rsidR="00E65B95" w:rsidRPr="00B30F32">
        <w:rPr>
          <w:sz w:val="22"/>
          <w:szCs w:val="22"/>
        </w:rPr>
        <w:t>országokban  lehet</w:t>
      </w:r>
      <w:proofErr w:type="gramEnd"/>
      <w:r w:rsidR="00E65B95" w:rsidRPr="00B30F32">
        <w:rPr>
          <w:sz w:val="22"/>
          <w:szCs w:val="22"/>
        </w:rPr>
        <w:t xml:space="preserve">!   </w:t>
      </w:r>
    </w:p>
    <w:p w:rsidR="00B735C4" w:rsidRPr="00B30F32" w:rsidRDefault="00012CEB" w:rsidP="0018081D">
      <w:pPr>
        <w:pStyle w:val="NormlWeb"/>
        <w:rPr>
          <w:sz w:val="22"/>
          <w:szCs w:val="22"/>
        </w:rPr>
      </w:pPr>
      <w:r w:rsidRPr="00B30F32">
        <w:rPr>
          <w:b/>
          <w:sz w:val="22"/>
          <w:szCs w:val="22"/>
        </w:rPr>
        <w:t>Támogatási intenzit</w:t>
      </w:r>
      <w:r w:rsidR="00786547" w:rsidRPr="00B30F32">
        <w:rPr>
          <w:b/>
          <w:sz w:val="22"/>
          <w:szCs w:val="22"/>
        </w:rPr>
        <w:t>ása</w:t>
      </w:r>
      <w:r w:rsidRPr="00B30F32">
        <w:rPr>
          <w:sz w:val="22"/>
          <w:szCs w:val="22"/>
        </w:rPr>
        <w:t>: maximum 100%.</w:t>
      </w:r>
    </w:p>
    <w:p w:rsidR="00EA57DB" w:rsidRPr="00B30F32" w:rsidRDefault="00EA57DB" w:rsidP="00EA57DB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30F32">
        <w:rPr>
          <w:sz w:val="22"/>
          <w:szCs w:val="22"/>
        </w:rPr>
        <w:t xml:space="preserve">-25 % flat rate a közvetett költségekre (indirect costs) </w:t>
      </w:r>
    </w:p>
    <w:p w:rsidR="00EA57DB" w:rsidRPr="00B30F32" w:rsidRDefault="00EA57DB" w:rsidP="00EA57DB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30F32">
        <w:rPr>
          <w:sz w:val="22"/>
          <w:szCs w:val="22"/>
        </w:rPr>
        <w:t>-a projektre vonatkozó minden információt egyetlen szerződésben (General Model Grant Agreement) kell rögzíteni.</w:t>
      </w:r>
    </w:p>
    <w:p w:rsidR="00EA57DB" w:rsidRPr="00B30F32" w:rsidRDefault="00EA57DB" w:rsidP="00EA57DB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30F32">
        <w:rPr>
          <w:sz w:val="22"/>
          <w:szCs w:val="22"/>
        </w:rPr>
        <w:t>-teljesen elektronikus ügyintézés (Participal Portal).</w:t>
      </w:r>
    </w:p>
    <w:p w:rsidR="00EA57DB" w:rsidRPr="00B30F32" w:rsidRDefault="00EA57DB" w:rsidP="00EA57DB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30F32">
        <w:rPr>
          <w:sz w:val="22"/>
          <w:szCs w:val="22"/>
        </w:rPr>
        <w:t>-előleg kérhető. Előlegként és közbenső kifizetésként a támogatás 85%-a használható föl. 10+5% a záróbeszámoló után érkezik, ezt kell előfinanszírozni (10% visszatartás, 5% garancia alapban tartott összeg).</w:t>
      </w:r>
    </w:p>
    <w:p w:rsidR="00EA57DB" w:rsidRPr="00B30F32" w:rsidRDefault="00EA57DB" w:rsidP="00EA57DB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30F32">
        <w:rPr>
          <w:sz w:val="22"/>
          <w:szCs w:val="22"/>
        </w:rPr>
        <w:t>-előszerződéses,</w:t>
      </w:r>
    </w:p>
    <w:p w:rsidR="00EA57DB" w:rsidRPr="00B30F32" w:rsidRDefault="00EA57DB" w:rsidP="00EA57DB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30F32">
        <w:rPr>
          <w:sz w:val="22"/>
          <w:szCs w:val="22"/>
        </w:rPr>
        <w:t>-részelszámolás köteles.</w:t>
      </w:r>
    </w:p>
    <w:p w:rsidR="00012CEB" w:rsidRPr="00B30F32" w:rsidRDefault="00012CEB" w:rsidP="0018081D">
      <w:pPr>
        <w:pStyle w:val="NormlWeb"/>
        <w:rPr>
          <w:sz w:val="22"/>
          <w:szCs w:val="22"/>
        </w:rPr>
      </w:pPr>
      <w:r w:rsidRPr="00B30F32">
        <w:rPr>
          <w:b/>
          <w:sz w:val="22"/>
          <w:szCs w:val="22"/>
        </w:rPr>
        <w:t>Támogatható tudományterületek</w:t>
      </w:r>
      <w:r w:rsidRPr="00B30F32">
        <w:rPr>
          <w:sz w:val="22"/>
          <w:szCs w:val="22"/>
        </w:rPr>
        <w:t xml:space="preserve"> (domains):</w:t>
      </w:r>
    </w:p>
    <w:p w:rsidR="00012CEB" w:rsidRPr="00B30F32" w:rsidRDefault="00012CEB" w:rsidP="00257E9C">
      <w:pPr>
        <w:pStyle w:val="NormlWeb"/>
        <w:numPr>
          <w:ilvl w:val="0"/>
          <w:numId w:val="3"/>
        </w:numPr>
        <w:rPr>
          <w:sz w:val="22"/>
          <w:szCs w:val="22"/>
        </w:rPr>
      </w:pPr>
      <w:r w:rsidRPr="00B30F32">
        <w:rPr>
          <w:sz w:val="22"/>
          <w:szCs w:val="22"/>
        </w:rPr>
        <w:t>Fizikai és műszaki tudományok</w:t>
      </w:r>
      <w:r w:rsidR="00E05455" w:rsidRPr="00B30F32">
        <w:rPr>
          <w:sz w:val="22"/>
          <w:szCs w:val="22"/>
        </w:rPr>
        <w:t xml:space="preserve"> (PE-Physical Sciences&amp;Engineering)</w:t>
      </w:r>
    </w:p>
    <w:p w:rsidR="00012CEB" w:rsidRPr="00B30F32" w:rsidRDefault="00012CEB" w:rsidP="00257E9C">
      <w:pPr>
        <w:pStyle w:val="NormlWeb"/>
        <w:numPr>
          <w:ilvl w:val="0"/>
          <w:numId w:val="3"/>
        </w:numPr>
        <w:rPr>
          <w:sz w:val="22"/>
          <w:szCs w:val="22"/>
        </w:rPr>
      </w:pPr>
      <w:r w:rsidRPr="00B30F32">
        <w:rPr>
          <w:sz w:val="22"/>
          <w:szCs w:val="22"/>
        </w:rPr>
        <w:t>Élettudományok</w:t>
      </w:r>
      <w:r w:rsidR="00E05455" w:rsidRPr="00B30F32">
        <w:rPr>
          <w:sz w:val="22"/>
          <w:szCs w:val="22"/>
        </w:rPr>
        <w:t xml:space="preserve"> (LS-Life Sciences)</w:t>
      </w:r>
    </w:p>
    <w:p w:rsidR="00786547" w:rsidRPr="00B30F32" w:rsidRDefault="00012CEB" w:rsidP="00786547">
      <w:pPr>
        <w:pStyle w:val="NormlWeb"/>
        <w:numPr>
          <w:ilvl w:val="0"/>
          <w:numId w:val="3"/>
        </w:numPr>
        <w:rPr>
          <w:sz w:val="22"/>
          <w:szCs w:val="22"/>
        </w:rPr>
      </w:pPr>
      <w:r w:rsidRPr="00B30F32">
        <w:rPr>
          <w:sz w:val="22"/>
          <w:szCs w:val="22"/>
        </w:rPr>
        <w:t>Társadalom- és humántudományok</w:t>
      </w:r>
      <w:r w:rsidR="00E05455" w:rsidRPr="00B30F32">
        <w:rPr>
          <w:sz w:val="22"/>
          <w:szCs w:val="22"/>
        </w:rPr>
        <w:t xml:space="preserve"> (SH- Social Sciences&amp; Humanities)</w:t>
      </w:r>
    </w:p>
    <w:p w:rsidR="0077000F" w:rsidRPr="00B30F32" w:rsidRDefault="0077000F" w:rsidP="0077000F">
      <w:pPr>
        <w:pStyle w:val="NormlWeb"/>
        <w:rPr>
          <w:sz w:val="22"/>
          <w:szCs w:val="22"/>
        </w:rPr>
      </w:pPr>
      <w:r w:rsidRPr="00B30F32">
        <w:rPr>
          <w:b/>
          <w:sz w:val="22"/>
          <w:szCs w:val="22"/>
        </w:rPr>
        <w:lastRenderedPageBreak/>
        <w:t>Pályázat benyújtása és elbírálása</w:t>
      </w:r>
      <w:r w:rsidRPr="00B30F32">
        <w:rPr>
          <w:sz w:val="22"/>
          <w:szCs w:val="22"/>
        </w:rPr>
        <w:t>: egylépcsős pályázatbenyújtás (egyetlen beadvány) és kétlépcsős elbírálás</w:t>
      </w:r>
    </w:p>
    <w:p w:rsidR="002F6EB0" w:rsidRPr="00B30F32" w:rsidRDefault="002F6EB0" w:rsidP="0077000F">
      <w:pPr>
        <w:pStyle w:val="NormlWeb"/>
        <w:rPr>
          <w:b/>
          <w:sz w:val="22"/>
          <w:szCs w:val="22"/>
        </w:rPr>
      </w:pPr>
      <w:r w:rsidRPr="00B30F32">
        <w:rPr>
          <w:b/>
          <w:sz w:val="22"/>
          <w:szCs w:val="22"/>
        </w:rPr>
        <w:t>Értékelési szempontok:</w:t>
      </w:r>
    </w:p>
    <w:p w:rsidR="002F6EB0" w:rsidRPr="00B30F32" w:rsidRDefault="002F6EB0" w:rsidP="002F6EB0">
      <w:pPr>
        <w:pStyle w:val="NormlWeb"/>
        <w:numPr>
          <w:ilvl w:val="0"/>
          <w:numId w:val="9"/>
        </w:numPr>
        <w:rPr>
          <w:sz w:val="22"/>
          <w:szCs w:val="22"/>
        </w:rPr>
      </w:pPr>
      <w:r w:rsidRPr="00B30F32">
        <w:rPr>
          <w:sz w:val="22"/>
          <w:szCs w:val="22"/>
        </w:rPr>
        <w:t xml:space="preserve">A </w:t>
      </w:r>
      <w:r w:rsidRPr="00B30F32">
        <w:rPr>
          <w:b/>
          <w:sz w:val="22"/>
          <w:szCs w:val="22"/>
        </w:rPr>
        <w:t>kiválóság</w:t>
      </w:r>
      <w:r w:rsidRPr="00B30F32">
        <w:rPr>
          <w:sz w:val="22"/>
          <w:szCs w:val="22"/>
        </w:rPr>
        <w:t xml:space="preserve"> az egyetlen értékelési szempont a kutatásvezető és a kutatási projekt tekintetében</w:t>
      </w:r>
    </w:p>
    <w:p w:rsidR="002F6EB0" w:rsidRPr="00B30F32" w:rsidRDefault="002F6EB0" w:rsidP="002F6EB0">
      <w:pPr>
        <w:pStyle w:val="NormlWeb"/>
        <w:numPr>
          <w:ilvl w:val="0"/>
          <w:numId w:val="9"/>
        </w:numPr>
        <w:rPr>
          <w:sz w:val="22"/>
          <w:szCs w:val="22"/>
        </w:rPr>
      </w:pPr>
      <w:r w:rsidRPr="00B30F32">
        <w:rPr>
          <w:b/>
          <w:sz w:val="22"/>
          <w:szCs w:val="22"/>
        </w:rPr>
        <w:t>úttörő jelleg</w:t>
      </w:r>
      <w:r w:rsidRPr="00B30F32">
        <w:rPr>
          <w:sz w:val="22"/>
          <w:szCs w:val="22"/>
        </w:rPr>
        <w:t xml:space="preserve"> vagy felfedező kutatás, ambíció</w:t>
      </w:r>
    </w:p>
    <w:p w:rsidR="002F6EB0" w:rsidRPr="00B30F32" w:rsidRDefault="002F6EB0" w:rsidP="002F6EB0">
      <w:pPr>
        <w:pStyle w:val="NormlWeb"/>
        <w:numPr>
          <w:ilvl w:val="0"/>
          <w:numId w:val="9"/>
        </w:numPr>
        <w:rPr>
          <w:b/>
          <w:sz w:val="22"/>
          <w:szCs w:val="22"/>
        </w:rPr>
      </w:pPr>
      <w:r w:rsidRPr="00B30F32">
        <w:rPr>
          <w:b/>
          <w:sz w:val="22"/>
          <w:szCs w:val="22"/>
        </w:rPr>
        <w:t>szokatlan kutatói pályák</w:t>
      </w:r>
    </w:p>
    <w:p w:rsidR="002F6EB0" w:rsidRPr="00B30F32" w:rsidRDefault="002F6EB0" w:rsidP="002F6EB0">
      <w:pPr>
        <w:pStyle w:val="NormlWeb"/>
        <w:numPr>
          <w:ilvl w:val="0"/>
          <w:numId w:val="9"/>
        </w:numPr>
        <w:rPr>
          <w:sz w:val="22"/>
          <w:szCs w:val="22"/>
        </w:rPr>
      </w:pPr>
      <w:r w:rsidRPr="00B30F32">
        <w:rPr>
          <w:sz w:val="22"/>
          <w:szCs w:val="22"/>
        </w:rPr>
        <w:t xml:space="preserve">elvárt min. munkaidő a </w:t>
      </w:r>
      <w:proofErr w:type="gramStart"/>
      <w:r w:rsidRPr="00B30F32">
        <w:rPr>
          <w:sz w:val="22"/>
          <w:szCs w:val="22"/>
        </w:rPr>
        <w:t>projektre</w:t>
      </w:r>
      <w:proofErr w:type="gramEnd"/>
      <w:r w:rsidRPr="00B30F32">
        <w:rPr>
          <w:sz w:val="22"/>
          <w:szCs w:val="22"/>
        </w:rPr>
        <w:t xml:space="preserve"> és amit az EU-ban vagy a társult országban kell eltölteni</w:t>
      </w:r>
    </w:p>
    <w:p w:rsidR="002F6EB0" w:rsidRPr="00B30F32" w:rsidRDefault="002F6EB0" w:rsidP="002F6EB0">
      <w:pPr>
        <w:pStyle w:val="NormlWeb"/>
        <w:numPr>
          <w:ilvl w:val="0"/>
          <w:numId w:val="9"/>
        </w:numPr>
        <w:rPr>
          <w:sz w:val="22"/>
          <w:szCs w:val="22"/>
        </w:rPr>
      </w:pPr>
      <w:r w:rsidRPr="00B30F32">
        <w:rPr>
          <w:sz w:val="22"/>
          <w:szCs w:val="22"/>
        </w:rPr>
        <w:t xml:space="preserve">tudományos megközelítés </w:t>
      </w:r>
      <w:r w:rsidRPr="00B30F32">
        <w:rPr>
          <w:b/>
          <w:sz w:val="22"/>
          <w:szCs w:val="22"/>
        </w:rPr>
        <w:t>megvalósíthatósága</w:t>
      </w:r>
    </w:p>
    <w:p w:rsidR="002F6EB0" w:rsidRPr="00B30F32" w:rsidRDefault="002F6EB0" w:rsidP="002F6EB0">
      <w:pPr>
        <w:pStyle w:val="NormlWeb"/>
        <w:numPr>
          <w:ilvl w:val="0"/>
          <w:numId w:val="9"/>
        </w:numPr>
        <w:rPr>
          <w:sz w:val="22"/>
          <w:szCs w:val="22"/>
        </w:rPr>
      </w:pPr>
      <w:r w:rsidRPr="00B30F32">
        <w:rPr>
          <w:sz w:val="22"/>
          <w:szCs w:val="22"/>
        </w:rPr>
        <w:t>kutatásvezető</w:t>
      </w:r>
      <w:r w:rsidRPr="00B30F32">
        <w:rPr>
          <w:b/>
          <w:sz w:val="22"/>
          <w:szCs w:val="22"/>
        </w:rPr>
        <w:t xml:space="preserve"> elkötelezettsége</w:t>
      </w:r>
    </w:p>
    <w:p w:rsidR="00741D6C" w:rsidRPr="00B30F32" w:rsidRDefault="00786547" w:rsidP="00741D6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30F32">
        <w:rPr>
          <w:b/>
          <w:sz w:val="22"/>
          <w:szCs w:val="22"/>
        </w:rPr>
        <w:t>Pályázat beadási határideje</w:t>
      </w:r>
      <w:r w:rsidRPr="00B30F32">
        <w:rPr>
          <w:sz w:val="22"/>
          <w:szCs w:val="22"/>
        </w:rPr>
        <w:t xml:space="preserve">: </w:t>
      </w:r>
      <w:r w:rsidR="00C41A00" w:rsidRPr="00B30F32">
        <w:rPr>
          <w:b/>
          <w:sz w:val="22"/>
          <w:szCs w:val="22"/>
        </w:rPr>
        <w:t>2015. március</w:t>
      </w:r>
      <w:r w:rsidRPr="00B30F32">
        <w:rPr>
          <w:b/>
          <w:sz w:val="22"/>
          <w:szCs w:val="22"/>
        </w:rPr>
        <w:t xml:space="preserve"> </w:t>
      </w:r>
      <w:r w:rsidR="00C41A00" w:rsidRPr="00B30F32">
        <w:rPr>
          <w:b/>
          <w:sz w:val="22"/>
          <w:szCs w:val="22"/>
        </w:rPr>
        <w:t>12</w:t>
      </w:r>
      <w:r w:rsidRPr="00B30F32">
        <w:rPr>
          <w:b/>
          <w:sz w:val="22"/>
          <w:szCs w:val="22"/>
        </w:rPr>
        <w:t>.</w:t>
      </w:r>
      <w:r w:rsidRPr="00B30F32">
        <w:rPr>
          <w:sz w:val="22"/>
          <w:szCs w:val="22"/>
        </w:rPr>
        <w:t xml:space="preserve"> 17:00 (brüsszeli helyi idő)</w:t>
      </w:r>
    </w:p>
    <w:p w:rsidR="00786547" w:rsidRPr="00B30F32" w:rsidRDefault="00786547" w:rsidP="00741D6C">
      <w:pPr>
        <w:pStyle w:val="NormlWeb"/>
        <w:spacing w:before="0" w:beforeAutospacing="0" w:after="0" w:afterAutospacing="0"/>
        <w:rPr>
          <w:sz w:val="22"/>
          <w:szCs w:val="22"/>
        </w:rPr>
      </w:pPr>
      <w:r w:rsidRPr="00B30F32">
        <w:rPr>
          <w:b/>
          <w:sz w:val="22"/>
          <w:szCs w:val="22"/>
        </w:rPr>
        <w:t>Pályázók kiértesítése:</w:t>
      </w:r>
      <w:r w:rsidR="00C5016E" w:rsidRPr="00B30F32">
        <w:rPr>
          <w:b/>
          <w:sz w:val="22"/>
          <w:szCs w:val="22"/>
        </w:rPr>
        <w:t xml:space="preserve"> 2015. </w:t>
      </w:r>
      <w:r w:rsidR="00C41A00" w:rsidRPr="00B30F32">
        <w:rPr>
          <w:b/>
          <w:sz w:val="22"/>
          <w:szCs w:val="22"/>
        </w:rPr>
        <w:t>augusztus</w:t>
      </w:r>
      <w:r w:rsidR="00C5016E" w:rsidRPr="00B30F32">
        <w:rPr>
          <w:b/>
          <w:sz w:val="22"/>
          <w:szCs w:val="22"/>
        </w:rPr>
        <w:t xml:space="preserve"> </w:t>
      </w:r>
      <w:r w:rsidR="00C41A00" w:rsidRPr="00B30F32">
        <w:rPr>
          <w:b/>
          <w:sz w:val="22"/>
          <w:szCs w:val="22"/>
        </w:rPr>
        <w:t>6</w:t>
      </w:r>
      <w:proofErr w:type="gramStart"/>
      <w:r w:rsidR="00C5016E" w:rsidRPr="00B30F32">
        <w:rPr>
          <w:b/>
          <w:sz w:val="22"/>
          <w:szCs w:val="22"/>
        </w:rPr>
        <w:t>.</w:t>
      </w:r>
      <w:r w:rsidR="00C41A00" w:rsidRPr="00B30F32">
        <w:rPr>
          <w:b/>
          <w:sz w:val="22"/>
          <w:szCs w:val="22"/>
        </w:rPr>
        <w:t>,</w:t>
      </w:r>
      <w:proofErr w:type="gramEnd"/>
      <w:r w:rsidR="00C41A00" w:rsidRPr="00B30F32">
        <w:rPr>
          <w:b/>
          <w:sz w:val="22"/>
          <w:szCs w:val="22"/>
        </w:rPr>
        <w:t xml:space="preserve"> 2016. január 20.</w:t>
      </w:r>
    </w:p>
    <w:p w:rsidR="00786547" w:rsidRPr="00B30F32" w:rsidRDefault="00786547" w:rsidP="0078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B30F32">
        <w:rPr>
          <w:rFonts w:ascii="Times New Roman" w:eastAsia="Times New Roman" w:hAnsi="Times New Roman" w:cs="Times New Roman"/>
          <w:lang w:eastAsia="hu-HU"/>
        </w:rPr>
        <w:t>A felhívásról részletesebben az ERC honlapján tájékozódhatnak a kutatók:</w:t>
      </w:r>
    </w:p>
    <w:p w:rsidR="004F614E" w:rsidRPr="00B30F32" w:rsidRDefault="00A97191" w:rsidP="004F614E">
      <w:pPr>
        <w:pStyle w:val="NormlWeb"/>
        <w:numPr>
          <w:ilvl w:val="0"/>
          <w:numId w:val="3"/>
        </w:numPr>
        <w:rPr>
          <w:sz w:val="22"/>
          <w:szCs w:val="22"/>
        </w:rPr>
      </w:pPr>
      <w:hyperlink r:id="rId7" w:history="1">
        <w:r w:rsidR="004F614E" w:rsidRPr="00B30F32">
          <w:rPr>
            <w:rStyle w:val="Hiperhivatkozs"/>
            <w:sz w:val="22"/>
            <w:szCs w:val="22"/>
          </w:rPr>
          <w:t>http://ec.europa.eu/research/participants/portal/desktop/en/opportunities/h2020/topics/9063-erc-cog-2015.html</w:t>
        </w:r>
      </w:hyperlink>
    </w:p>
    <w:p w:rsidR="009B4D33" w:rsidRPr="00B30F32" w:rsidRDefault="00A97191" w:rsidP="00755822">
      <w:pPr>
        <w:pStyle w:val="NormlWeb"/>
        <w:numPr>
          <w:ilvl w:val="0"/>
          <w:numId w:val="3"/>
        </w:numPr>
        <w:rPr>
          <w:rStyle w:val="Hiperhivatkozs"/>
          <w:color w:val="auto"/>
          <w:sz w:val="22"/>
          <w:szCs w:val="22"/>
          <w:u w:val="none"/>
        </w:rPr>
      </w:pPr>
      <w:hyperlink r:id="rId8" w:history="1">
        <w:r w:rsidR="00722EC7" w:rsidRPr="00B30F32">
          <w:rPr>
            <w:rStyle w:val="Hiperhivatkozs"/>
            <w:sz w:val="22"/>
            <w:szCs w:val="22"/>
          </w:rPr>
          <w:t xml:space="preserve">ERC 2015 Work Programme </w:t>
        </w:r>
      </w:hyperlink>
    </w:p>
    <w:p w:rsidR="00741D6C" w:rsidRPr="00B30F32" w:rsidRDefault="00A97191" w:rsidP="00741D6C">
      <w:pPr>
        <w:pStyle w:val="NormlWeb"/>
        <w:numPr>
          <w:ilvl w:val="0"/>
          <w:numId w:val="3"/>
        </w:numPr>
        <w:rPr>
          <w:rStyle w:val="Hiperhivatkozs"/>
          <w:color w:val="auto"/>
          <w:sz w:val="22"/>
          <w:szCs w:val="22"/>
          <w:u w:val="none"/>
        </w:rPr>
      </w:pPr>
      <w:hyperlink r:id="rId9" w:history="1">
        <w:r w:rsidR="00741D6C" w:rsidRPr="00B30F32">
          <w:rPr>
            <w:rStyle w:val="Hiperhivatkozs"/>
            <w:sz w:val="22"/>
            <w:szCs w:val="22"/>
          </w:rPr>
          <w:t>http://ec.europa.eu/research/participants/portal/doc/call/h2020/erc-2015-stg/1630105-info_for_applicants_stg_-_cog_2015_final_24102014_en.pdf</w:t>
        </w:r>
      </w:hyperlink>
    </w:p>
    <w:p w:rsidR="006A3B63" w:rsidRPr="00044B91" w:rsidRDefault="006A3B63" w:rsidP="006A3B6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44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Benyújtás formai követelményei:</w:t>
      </w:r>
    </w:p>
    <w:p w:rsidR="006A3B63" w:rsidRDefault="006A3B63" w:rsidP="006A3B63">
      <w:pPr>
        <w:rPr>
          <w:rFonts w:ascii="Times New Roman" w:eastAsia="Times New Roman" w:hAnsi="Times New Roman" w:cs="Times New Roman"/>
          <w:b/>
          <w:lang w:eastAsia="hu-HU"/>
        </w:rPr>
      </w:pPr>
      <w:r w:rsidRPr="00044B91">
        <w:rPr>
          <w:rFonts w:ascii="Times New Roman" w:eastAsia="Times New Roman" w:hAnsi="Times New Roman" w:cs="Times New Roman"/>
          <w:b/>
          <w:lang w:eastAsia="hu-HU"/>
        </w:rPr>
        <w:t>Adatszolgáltatás (</w:t>
      </w:r>
      <w:r w:rsidRPr="00044B91">
        <w:rPr>
          <w:rFonts w:ascii="Times New Roman" w:hAnsi="Times New Roman" w:cs="Times New Roman"/>
        </w:rPr>
        <w:t xml:space="preserve">Electronic Proposal </w:t>
      </w:r>
      <w:r w:rsidRPr="00044B91">
        <w:rPr>
          <w:rFonts w:ascii="Times New Roman" w:eastAsia="Times New Roman" w:hAnsi="Times New Roman" w:cs="Times New Roman"/>
          <w:lang w:eastAsia="hu-HU"/>
        </w:rPr>
        <w:t>Submission Service</w:t>
      </w:r>
      <w:r w:rsidRPr="00044B91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(</w:t>
      </w:r>
      <w:r w:rsidRPr="00044B91">
        <w:rPr>
          <w:rFonts w:ascii="Times New Roman" w:eastAsia="Times New Roman" w:hAnsi="Times New Roman" w:cs="Times New Roman"/>
          <w:b/>
          <w:lang w:eastAsia="hu-HU"/>
        </w:rPr>
        <w:t>E</w:t>
      </w:r>
      <w:r w:rsidRPr="00A10ED0">
        <w:rPr>
          <w:rFonts w:ascii="Times New Roman" w:eastAsia="Times New Roman" w:hAnsi="Times New Roman" w:cs="Times New Roman"/>
          <w:b/>
          <w:lang w:eastAsia="hu-HU"/>
        </w:rPr>
        <w:t>PSS</w:t>
      </w:r>
      <w:r>
        <w:rPr>
          <w:rFonts w:ascii="Times New Roman" w:eastAsia="Times New Roman" w:hAnsi="Times New Roman" w:cs="Times New Roman"/>
          <w:b/>
          <w:lang w:eastAsia="hu-HU"/>
        </w:rPr>
        <w:t>)</w:t>
      </w:r>
      <w:r w:rsidRPr="00044B91">
        <w:rPr>
          <w:rFonts w:ascii="Times New Roman" w:eastAsia="Times New Roman" w:hAnsi="Times New Roman" w:cs="Times New Roman"/>
          <w:lang w:eastAsia="hu-HU"/>
        </w:rPr>
        <w:t>, Elektronikus Pályázatbenyújtási Rendszer</w:t>
      </w:r>
      <w:r w:rsidRPr="00044B91">
        <w:rPr>
          <w:rFonts w:ascii="Times New Roman" w:eastAsia="Times New Roman" w:hAnsi="Times New Roman" w:cs="Times New Roman"/>
          <w:b/>
          <w:lang w:eastAsia="hu-HU"/>
        </w:rPr>
        <w:t>)</w:t>
      </w:r>
    </w:p>
    <w:p w:rsidR="006A3B63" w:rsidRPr="002A1708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A1708">
        <w:rPr>
          <w:rFonts w:ascii="Times New Roman" w:eastAsia="Times New Roman" w:hAnsi="Times New Roman" w:cs="Times New Roman"/>
          <w:lang w:eastAsia="hu-HU"/>
        </w:rPr>
        <w:t>General user guidance</w:t>
      </w:r>
      <w:r>
        <w:rPr>
          <w:rFonts w:ascii="Times New Roman" w:eastAsia="Times New Roman" w:hAnsi="Times New Roman" w:cs="Times New Roman"/>
          <w:lang w:eastAsia="hu-HU"/>
        </w:rPr>
        <w:t xml:space="preserve"> (Általános használati útmutató)</w:t>
      </w:r>
    </w:p>
    <w:p w:rsidR="006A3B63" w:rsidRPr="00044B91" w:rsidRDefault="00A97191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hyperlink r:id="rId10" w:history="1">
        <w:r w:rsidR="006A3B63" w:rsidRPr="00CC3C49">
          <w:rPr>
            <w:rStyle w:val="Hiperhivatkozs"/>
            <w:rFonts w:ascii="Times New Roman" w:eastAsia="Times New Roman" w:hAnsi="Times New Roman" w:cs="Times New Roman"/>
            <w:lang w:eastAsia="hu-HU"/>
          </w:rPr>
          <w:t>http://ec.europa.eu/research/participants/data/support/sep_usermanual.pdf</w:t>
        </w:r>
      </w:hyperlink>
      <w:r w:rsidR="006A3B63" w:rsidRPr="002A1708">
        <w:rPr>
          <w:rFonts w:ascii="Times New Roman" w:eastAsia="Times New Roman" w:hAnsi="Times New Roman" w:cs="Times New Roman"/>
          <w:lang w:eastAsia="hu-HU"/>
        </w:rPr>
        <w:t>.</w:t>
      </w:r>
    </w:p>
    <w:p w:rsidR="006A3B63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A3B63" w:rsidRPr="00044B91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44B91">
        <w:rPr>
          <w:rFonts w:ascii="Times New Roman" w:eastAsia="Times New Roman" w:hAnsi="Times New Roman" w:cs="Times New Roman"/>
          <w:lang w:eastAsia="hu-HU"/>
        </w:rPr>
        <w:t>E</w:t>
      </w:r>
      <w:r w:rsidRPr="00A10ED0">
        <w:rPr>
          <w:rFonts w:ascii="Times New Roman" w:eastAsia="Times New Roman" w:hAnsi="Times New Roman" w:cs="Times New Roman"/>
          <w:lang w:eastAsia="hu-HU"/>
        </w:rPr>
        <w:t xml:space="preserve">PSS (regisztráció és pályázatbeadás) minden elektronikus! </w:t>
      </w:r>
    </w:p>
    <w:p w:rsidR="006A3B63" w:rsidRPr="00044B91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44B91">
        <w:rPr>
          <w:rFonts w:ascii="Times New Roman" w:eastAsia="Times New Roman" w:hAnsi="Times New Roman" w:cs="Times New Roman"/>
          <w:lang w:eastAsia="hu-HU"/>
        </w:rPr>
        <w:t>Adminisztartív űrlap 5 részből áll:</w:t>
      </w:r>
    </w:p>
    <w:p w:rsidR="006A3B63" w:rsidRPr="00044B91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44B91">
        <w:rPr>
          <w:rFonts w:ascii="Times New Roman" w:eastAsia="Times New Roman" w:hAnsi="Times New Roman" w:cs="Times New Roman"/>
          <w:lang w:eastAsia="hu-HU"/>
        </w:rPr>
        <w:t>1 –General Information (általános info): 1. mellékletben található ERC kulcsszavak közül a releváns feltüntetése</w:t>
      </w:r>
    </w:p>
    <w:p w:rsidR="006A3B63" w:rsidRPr="0094196F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4196F">
        <w:rPr>
          <w:rFonts w:ascii="Times New Roman" w:eastAsia="Times New Roman" w:hAnsi="Times New Roman" w:cs="Times New Roman"/>
          <w:lang w:eastAsia="hu-HU"/>
        </w:rPr>
        <w:t>2 – Administrative data of participating organisations: PI (kutatásvezetőt) és a PI Befogadó Intézményét (Host Institution) érintő adatszolgáltatás.</w:t>
      </w:r>
    </w:p>
    <w:p w:rsidR="006A3B63" w:rsidRPr="0094196F" w:rsidRDefault="006A3B63" w:rsidP="006A3B63">
      <w:pPr>
        <w:spacing w:after="0" w:line="240" w:lineRule="auto"/>
        <w:rPr>
          <w:rFonts w:ascii="Times New Roman" w:hAnsi="Times New Roman" w:cs="Times New Roman"/>
        </w:rPr>
      </w:pPr>
    </w:p>
    <w:p w:rsidR="0094196F" w:rsidRPr="0094196F" w:rsidRDefault="0094196F" w:rsidP="0094196F">
      <w:pPr>
        <w:spacing w:after="0" w:line="240" w:lineRule="auto"/>
        <w:rPr>
          <w:rFonts w:ascii="Times New Roman" w:hAnsi="Times New Roman" w:cs="Times New Roman"/>
          <w:b/>
        </w:rPr>
      </w:pPr>
      <w:r w:rsidRPr="0094196F">
        <w:rPr>
          <w:rFonts w:ascii="Times New Roman" w:hAnsi="Times New Roman" w:cs="Times New Roman"/>
          <w:b/>
        </w:rPr>
        <w:t>ELTE</w:t>
      </w:r>
      <w:r w:rsidRPr="0094196F">
        <w:rPr>
          <w:rFonts w:ascii="Times New Roman" w:hAnsi="Times New Roman" w:cs="Times New Roman"/>
        </w:rPr>
        <w:t xml:space="preserve"> (Participant Identity Code, PIC) </w:t>
      </w:r>
      <w:r w:rsidRPr="0094196F">
        <w:rPr>
          <w:rFonts w:ascii="Times New Roman" w:hAnsi="Times New Roman" w:cs="Times New Roman"/>
          <w:b/>
        </w:rPr>
        <w:t>PIC</w:t>
      </w:r>
      <w:r w:rsidRPr="0094196F">
        <w:rPr>
          <w:rFonts w:ascii="Times New Roman" w:hAnsi="Times New Roman" w:cs="Times New Roman"/>
        </w:rPr>
        <w:t xml:space="preserve"> kódja: </w:t>
      </w:r>
      <w:r w:rsidRPr="0094196F">
        <w:rPr>
          <w:rFonts w:ascii="Times New Roman" w:hAnsi="Times New Roman" w:cs="Times New Roman"/>
          <w:b/>
        </w:rPr>
        <w:t>999896468</w:t>
      </w:r>
    </w:p>
    <w:p w:rsidR="0094196F" w:rsidRPr="0094196F" w:rsidRDefault="0094196F" w:rsidP="0094196F">
      <w:pPr>
        <w:spacing w:after="0" w:line="240" w:lineRule="auto"/>
        <w:rPr>
          <w:rFonts w:ascii="Times New Roman" w:hAnsi="Times New Roman" w:cs="Times New Roman"/>
        </w:rPr>
      </w:pPr>
      <w:r w:rsidRPr="0094196F">
        <w:rPr>
          <w:rFonts w:ascii="Times New Roman" w:hAnsi="Times New Roman" w:cs="Times New Roman"/>
        </w:rPr>
        <w:t>A pályázatot az ELTE nevében kell beadni.</w:t>
      </w:r>
      <w:r w:rsidRPr="0094196F">
        <w:rPr>
          <w:rFonts w:ascii="Times New Roman" w:hAnsi="Times New Roman" w:cs="Times New Roman"/>
        </w:rPr>
        <w:br/>
        <w:t>Az ELTE PIC számának használata minden ELTE-s kutatónak kötelező.</w:t>
      </w:r>
    </w:p>
    <w:p w:rsidR="006A3B63" w:rsidRPr="007A1278" w:rsidRDefault="006A3B63" w:rsidP="006A3B63">
      <w:pPr>
        <w:spacing w:after="0" w:line="240" w:lineRule="auto"/>
        <w:rPr>
          <w:rFonts w:ascii="Times New Roman" w:hAnsi="Times New Roman" w:cs="Times New Roman"/>
          <w:b/>
        </w:rPr>
      </w:pPr>
    </w:p>
    <w:p w:rsidR="006A3B63" w:rsidRPr="007A1278" w:rsidRDefault="006A3B63" w:rsidP="006A3B63">
      <w:pPr>
        <w:spacing w:after="0" w:line="240" w:lineRule="auto"/>
        <w:rPr>
          <w:rFonts w:ascii="Times New Roman" w:hAnsi="Times New Roman" w:cs="Times New Roman"/>
          <w:b/>
        </w:rPr>
      </w:pPr>
      <w:r w:rsidRPr="007A1278">
        <w:rPr>
          <w:rFonts w:ascii="Times New Roman" w:hAnsi="Times New Roman" w:cs="Times New Roman"/>
          <w:b/>
        </w:rPr>
        <w:t>Legal address:</w:t>
      </w:r>
    </w:p>
    <w:p w:rsidR="006A3B63" w:rsidRPr="007A1278" w:rsidRDefault="006A3B63" w:rsidP="006A3B63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A1278">
        <w:rPr>
          <w:rFonts w:ascii="Times New Roman" w:hAnsi="Times New Roman" w:cs="Times New Roman"/>
        </w:rPr>
        <w:t>Postal Code: H-1053</w:t>
      </w:r>
    </w:p>
    <w:p w:rsidR="006A3B63" w:rsidRPr="007A1278" w:rsidRDefault="006A3B63" w:rsidP="006A3B63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A1278">
        <w:rPr>
          <w:rFonts w:ascii="Times New Roman" w:hAnsi="Times New Roman" w:cs="Times New Roman"/>
        </w:rPr>
        <w:t>Street name: Egyetem tér</w:t>
      </w:r>
    </w:p>
    <w:p w:rsidR="006A3B63" w:rsidRPr="007A1278" w:rsidRDefault="006A3B63" w:rsidP="006A3B63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A1278">
        <w:rPr>
          <w:rFonts w:ascii="Times New Roman" w:hAnsi="Times New Roman" w:cs="Times New Roman"/>
        </w:rPr>
        <w:t>Number: 1-3.</w:t>
      </w:r>
    </w:p>
    <w:p w:rsidR="006A3B63" w:rsidRPr="007A1278" w:rsidRDefault="006A3B63" w:rsidP="006A3B63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A1278">
        <w:rPr>
          <w:rFonts w:ascii="Times New Roman" w:hAnsi="Times New Roman" w:cs="Times New Roman"/>
        </w:rPr>
        <w:t>Town: Budapest</w:t>
      </w:r>
    </w:p>
    <w:p w:rsidR="006A3B63" w:rsidRPr="007A1278" w:rsidRDefault="006A3B63" w:rsidP="006A3B63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A1278">
        <w:rPr>
          <w:rFonts w:ascii="Times New Roman" w:hAnsi="Times New Roman" w:cs="Times New Roman"/>
        </w:rPr>
        <w:t>Country: Hungary</w:t>
      </w:r>
    </w:p>
    <w:p w:rsidR="006A3B63" w:rsidRPr="007A1278" w:rsidRDefault="006A3B63" w:rsidP="006A3B63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A1278">
        <w:rPr>
          <w:rFonts w:ascii="Times New Roman" w:hAnsi="Times New Roman" w:cs="Times New Roman"/>
        </w:rPr>
        <w:t xml:space="preserve">Internet homepage: </w:t>
      </w:r>
      <w:hyperlink r:id="rId11" w:history="1">
        <w:r w:rsidRPr="007A1278">
          <w:rPr>
            <w:rStyle w:val="Hiperhivatkozs"/>
            <w:rFonts w:ascii="Times New Roman" w:hAnsi="Times New Roman" w:cs="Times New Roman"/>
          </w:rPr>
          <w:t>http://www.elte.hu</w:t>
        </w:r>
      </w:hyperlink>
    </w:p>
    <w:p w:rsidR="006A3B63" w:rsidRPr="007A1278" w:rsidRDefault="006A3B63" w:rsidP="006A3B63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A1278">
        <w:rPr>
          <w:rFonts w:ascii="Times New Roman" w:hAnsi="Times New Roman" w:cs="Times New Roman"/>
        </w:rPr>
        <w:t xml:space="preserve">VAT number: </w:t>
      </w:r>
      <w:proofErr w:type="gramStart"/>
      <w:r w:rsidRPr="007A1278">
        <w:rPr>
          <w:rFonts w:ascii="Times New Roman" w:hAnsi="Times New Roman" w:cs="Times New Roman"/>
        </w:rPr>
        <w:t>HU</w:t>
      </w:r>
      <w:proofErr w:type="gramEnd"/>
      <w:r w:rsidRPr="007A1278">
        <w:rPr>
          <w:rFonts w:ascii="Times New Roman" w:hAnsi="Times New Roman" w:cs="Times New Roman"/>
        </w:rPr>
        <w:t xml:space="preserve"> 15308744</w:t>
      </w:r>
    </w:p>
    <w:p w:rsidR="006A3B63" w:rsidRPr="007A1278" w:rsidRDefault="006A3B63" w:rsidP="006A3B63">
      <w:pPr>
        <w:spacing w:after="0" w:line="240" w:lineRule="auto"/>
        <w:rPr>
          <w:rFonts w:ascii="Times New Roman" w:hAnsi="Times New Roman" w:cs="Times New Roman"/>
        </w:rPr>
      </w:pPr>
    </w:p>
    <w:p w:rsidR="006A3B63" w:rsidRPr="00B90B7F" w:rsidRDefault="006A3B63" w:rsidP="006A3B63">
      <w:pPr>
        <w:spacing w:after="0" w:line="240" w:lineRule="auto"/>
        <w:rPr>
          <w:rFonts w:ascii="Times New Roman" w:hAnsi="Times New Roman" w:cs="Times New Roman"/>
        </w:rPr>
      </w:pPr>
    </w:p>
    <w:p w:rsidR="006A3B63" w:rsidRPr="00B90B7F" w:rsidRDefault="006A3B63" w:rsidP="006A3B63">
      <w:pPr>
        <w:spacing w:after="0" w:line="240" w:lineRule="auto"/>
        <w:rPr>
          <w:rFonts w:ascii="Times New Roman" w:hAnsi="Times New Roman" w:cs="Times New Roman"/>
          <w:b/>
        </w:rPr>
      </w:pPr>
      <w:r w:rsidRPr="00B90B7F">
        <w:rPr>
          <w:rFonts w:ascii="Times New Roman" w:hAnsi="Times New Roman" w:cs="Times New Roman"/>
          <w:b/>
        </w:rPr>
        <w:t>Status of your organisation:</w:t>
      </w:r>
    </w:p>
    <w:p w:rsidR="006A3B63" w:rsidRPr="00B90B7F" w:rsidRDefault="006A3B63" w:rsidP="006A3B63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B90B7F">
        <w:rPr>
          <w:rFonts w:ascii="Times New Roman" w:hAnsi="Times New Roman" w:cs="Times New Roman"/>
          <w:b/>
          <w:bCs/>
        </w:rPr>
        <w:t>Legal person:</w:t>
      </w:r>
      <w:r w:rsidRPr="00B90B7F">
        <w:rPr>
          <w:rFonts w:ascii="Times New Roman" w:hAnsi="Times New Roman" w:cs="Times New Roman"/>
        </w:rPr>
        <w:t xml:space="preserve"> YES</w:t>
      </w:r>
    </w:p>
    <w:p w:rsidR="006A3B63" w:rsidRPr="00B90B7F" w:rsidRDefault="006A3B63" w:rsidP="006A3B63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B90B7F">
        <w:rPr>
          <w:rFonts w:ascii="Times New Roman" w:hAnsi="Times New Roman" w:cs="Times New Roman"/>
          <w:b/>
          <w:bCs/>
        </w:rPr>
        <w:t>Public body</w:t>
      </w:r>
      <w:proofErr w:type="gramStart"/>
      <w:r w:rsidRPr="00B90B7F">
        <w:rPr>
          <w:rFonts w:ascii="Times New Roman" w:hAnsi="Times New Roman" w:cs="Times New Roman"/>
          <w:b/>
          <w:bCs/>
        </w:rPr>
        <w:t>:</w:t>
      </w:r>
      <w:r w:rsidRPr="00B90B7F">
        <w:rPr>
          <w:rFonts w:ascii="Times New Roman" w:hAnsi="Times New Roman" w:cs="Times New Roman"/>
        </w:rPr>
        <w:t>YES</w:t>
      </w:r>
      <w:proofErr w:type="gramEnd"/>
    </w:p>
    <w:p w:rsidR="006A3B63" w:rsidRPr="00B90B7F" w:rsidRDefault="006A3B63" w:rsidP="006A3B63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B90B7F">
        <w:rPr>
          <w:rFonts w:ascii="Times New Roman" w:hAnsi="Times New Roman" w:cs="Times New Roman"/>
          <w:b/>
          <w:bCs/>
        </w:rPr>
        <w:t>Non-profit</w:t>
      </w:r>
      <w:proofErr w:type="gramStart"/>
      <w:r w:rsidRPr="00B90B7F">
        <w:rPr>
          <w:rFonts w:ascii="Times New Roman" w:hAnsi="Times New Roman" w:cs="Times New Roman"/>
          <w:b/>
          <w:bCs/>
        </w:rPr>
        <w:t>:</w:t>
      </w:r>
      <w:r w:rsidRPr="00B90B7F">
        <w:rPr>
          <w:rFonts w:ascii="Times New Roman" w:hAnsi="Times New Roman" w:cs="Times New Roman"/>
        </w:rPr>
        <w:t>YES</w:t>
      </w:r>
      <w:proofErr w:type="gramEnd"/>
      <w:r w:rsidRPr="00B90B7F">
        <w:rPr>
          <w:rFonts w:ascii="Times New Roman" w:hAnsi="Times New Roman" w:cs="Times New Roman"/>
        </w:rPr>
        <w:t xml:space="preserve"> </w:t>
      </w:r>
    </w:p>
    <w:p w:rsidR="006A3B63" w:rsidRPr="00B90B7F" w:rsidRDefault="006A3B63" w:rsidP="006A3B63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B90B7F">
        <w:rPr>
          <w:rFonts w:ascii="Times New Roman" w:hAnsi="Times New Roman" w:cs="Times New Roman"/>
          <w:b/>
          <w:bCs/>
        </w:rPr>
        <w:t>International organisation:</w:t>
      </w:r>
      <w:r w:rsidRPr="00B90B7F">
        <w:rPr>
          <w:rFonts w:ascii="Times New Roman" w:hAnsi="Times New Roman" w:cs="Times New Roman"/>
        </w:rPr>
        <w:t xml:space="preserve"> NO</w:t>
      </w:r>
    </w:p>
    <w:p w:rsidR="006A3B63" w:rsidRPr="00B90B7F" w:rsidRDefault="006A3B63" w:rsidP="006A3B63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B90B7F">
        <w:rPr>
          <w:rFonts w:ascii="Times New Roman" w:hAnsi="Times New Roman" w:cs="Times New Roman"/>
          <w:b/>
          <w:bCs/>
        </w:rPr>
        <w:t>International organisation of European interest</w:t>
      </w:r>
      <w:proofErr w:type="gramStart"/>
      <w:r w:rsidRPr="00B90B7F">
        <w:rPr>
          <w:rFonts w:ascii="Times New Roman" w:hAnsi="Times New Roman" w:cs="Times New Roman"/>
          <w:b/>
          <w:bCs/>
        </w:rPr>
        <w:t>:</w:t>
      </w:r>
      <w:r w:rsidRPr="00B90B7F">
        <w:rPr>
          <w:rFonts w:ascii="Times New Roman" w:hAnsi="Times New Roman" w:cs="Times New Roman"/>
        </w:rPr>
        <w:t>NO</w:t>
      </w:r>
      <w:proofErr w:type="gramEnd"/>
    </w:p>
    <w:p w:rsidR="006A3B63" w:rsidRPr="00B90B7F" w:rsidRDefault="006A3B63" w:rsidP="006A3B63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B90B7F">
        <w:rPr>
          <w:rFonts w:ascii="Times New Roman" w:hAnsi="Times New Roman" w:cs="Times New Roman"/>
          <w:b/>
          <w:bCs/>
        </w:rPr>
        <w:t>Secondary or Higher education establishment:</w:t>
      </w:r>
      <w:r w:rsidRPr="00B90B7F">
        <w:rPr>
          <w:rFonts w:ascii="Times New Roman" w:hAnsi="Times New Roman" w:cs="Times New Roman"/>
        </w:rPr>
        <w:t xml:space="preserve"> YES</w:t>
      </w:r>
    </w:p>
    <w:p w:rsidR="006A3B63" w:rsidRPr="00B90B7F" w:rsidRDefault="006A3B63" w:rsidP="006A3B63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B90B7F">
        <w:rPr>
          <w:rFonts w:ascii="Times New Roman" w:hAnsi="Times New Roman" w:cs="Times New Roman"/>
          <w:b/>
          <w:bCs/>
        </w:rPr>
        <w:t>Small and Medium-sized Enterprises (SMEs):</w:t>
      </w:r>
      <w:r w:rsidRPr="00B90B7F">
        <w:rPr>
          <w:rFonts w:ascii="Times New Roman" w:hAnsi="Times New Roman" w:cs="Times New Roman"/>
        </w:rPr>
        <w:t xml:space="preserve"> NO</w:t>
      </w:r>
    </w:p>
    <w:p w:rsidR="006A3B63" w:rsidRPr="00B90B7F" w:rsidRDefault="006A3B63" w:rsidP="006A3B63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B90B7F">
        <w:rPr>
          <w:rFonts w:ascii="Times New Roman" w:hAnsi="Times New Roman" w:cs="Times New Roman"/>
          <w:b/>
          <w:bCs/>
        </w:rPr>
        <w:t xml:space="preserve">Academic sector: </w:t>
      </w:r>
      <w:r w:rsidRPr="00B90B7F">
        <w:rPr>
          <w:rFonts w:ascii="Times New Roman" w:hAnsi="Times New Roman" w:cs="Times New Roman"/>
        </w:rPr>
        <w:t>YES</w:t>
      </w:r>
    </w:p>
    <w:p w:rsidR="006A3B63" w:rsidRPr="00B90B7F" w:rsidRDefault="006A3B63" w:rsidP="006A3B63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B90B7F">
        <w:rPr>
          <w:rFonts w:ascii="Times New Roman" w:hAnsi="Times New Roman" w:cs="Times New Roman"/>
          <w:b/>
        </w:rPr>
        <w:t>NACE:854</w:t>
      </w:r>
    </w:p>
    <w:p w:rsidR="006A3B63" w:rsidRPr="00E57965" w:rsidRDefault="006A3B63" w:rsidP="006A3B63">
      <w:pPr>
        <w:spacing w:after="0" w:line="240" w:lineRule="auto"/>
        <w:ind w:firstLine="360"/>
        <w:rPr>
          <w:rFonts w:ascii="Times New Roman" w:hAnsi="Times New Roman" w:cs="Times New Roman"/>
          <w:i/>
        </w:rPr>
      </w:pPr>
      <w:r w:rsidRPr="00E57965">
        <w:rPr>
          <w:i/>
        </w:rPr>
        <w:t>(Szakágazati kód (TEAOR '08): </w:t>
      </w:r>
      <w:r w:rsidRPr="00E57965">
        <w:rPr>
          <w:b/>
          <w:bCs/>
          <w:i/>
        </w:rPr>
        <w:t>854200 (Felsőfokú oktatás))</w:t>
      </w:r>
    </w:p>
    <w:p w:rsidR="006A3B63" w:rsidRPr="00044B91" w:rsidRDefault="006A3B63" w:rsidP="006A3B63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6A3B63" w:rsidRDefault="006A3B63" w:rsidP="006A3B63">
      <w:pPr>
        <w:rPr>
          <w:rFonts w:ascii="Times New Roman" w:eastAsia="Times New Roman" w:hAnsi="Times New Roman" w:cs="Times New Roman"/>
          <w:lang w:eastAsia="hu-HU"/>
        </w:rPr>
      </w:pPr>
      <w:r w:rsidRPr="00C37043">
        <w:rPr>
          <w:rFonts w:ascii="Times New Roman" w:eastAsia="Times New Roman" w:hAnsi="Times New Roman" w:cs="Times New Roman"/>
          <w:lang w:eastAsia="hu-HU"/>
        </w:rPr>
        <w:t>3 – Budget</w:t>
      </w:r>
    </w:p>
    <w:p w:rsidR="006A3B63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direct+indirect= 100% (kért támogatás)</w:t>
      </w:r>
    </w:p>
    <w:p w:rsidR="006A3B63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Indirect cost = (direct cost- subcontracting) *0,25 (felmerülő közvetlen költségeknek </w:t>
      </w:r>
      <w:r w:rsidRPr="00144A9F">
        <w:rPr>
          <w:rFonts w:ascii="Times New Roman" w:eastAsia="Times New Roman" w:hAnsi="Times New Roman" w:cs="Times New Roman"/>
          <w:lang w:eastAsia="hu-HU"/>
        </w:rPr>
        <w:t>az alvállalkozóknak kifizetett összegek kivonásával</w:t>
      </w:r>
      <w:r>
        <w:rPr>
          <w:rFonts w:ascii="Times New Roman" w:eastAsia="Times New Roman" w:hAnsi="Times New Roman" w:cs="Times New Roman"/>
          <w:lang w:eastAsia="hu-HU"/>
        </w:rPr>
        <w:t xml:space="preserve"> képzett összege</w:t>
      </w:r>
      <w:r w:rsidRPr="00144A9F">
        <w:rPr>
          <w:rFonts w:ascii="Times New Roman" w:eastAsia="Times New Roman" w:hAnsi="Times New Roman" w:cs="Times New Roman"/>
          <w:lang w:eastAsia="hu-HU"/>
        </w:rPr>
        <w:t>)</w:t>
      </w:r>
    </w:p>
    <w:p w:rsidR="006A3B63" w:rsidRPr="00B0272D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CD6690">
        <w:rPr>
          <w:rFonts w:ascii="Times New Roman" w:eastAsia="Times New Roman" w:hAnsi="Times New Roman" w:cs="Times New Roman"/>
          <w:b/>
          <w:lang w:eastAsia="hu-HU"/>
        </w:rPr>
        <w:t>A kutatás költségei határozzák meg az igényelhető EU támogatás mértékét, nem az elnyerhető átlagos támogatáshoz kell igazítani a kért összeget.</w:t>
      </w:r>
    </w:p>
    <w:p w:rsidR="006A3B63" w:rsidRDefault="006A3B63" w:rsidP="006A3B63">
      <w:pPr>
        <w:rPr>
          <w:rFonts w:ascii="Times New Roman" w:eastAsia="Times New Roman" w:hAnsi="Times New Roman" w:cs="Times New Roman"/>
          <w:b/>
          <w:lang w:eastAsia="hu-HU"/>
        </w:rPr>
      </w:pPr>
    </w:p>
    <w:p w:rsidR="00B30F32" w:rsidRDefault="00B30F32" w:rsidP="006A3B63">
      <w:pPr>
        <w:rPr>
          <w:rFonts w:ascii="Times New Roman" w:eastAsia="Times New Roman" w:hAnsi="Times New Roman" w:cs="Times New Roman"/>
          <w:b/>
          <w:lang w:eastAsia="hu-HU"/>
        </w:rPr>
      </w:pPr>
    </w:p>
    <w:p w:rsidR="00B30F32" w:rsidRDefault="00B30F32" w:rsidP="006A3B63">
      <w:pPr>
        <w:rPr>
          <w:rFonts w:ascii="Times New Roman" w:eastAsia="Times New Roman" w:hAnsi="Times New Roman" w:cs="Times New Roman"/>
          <w:b/>
          <w:lang w:eastAsia="hu-HU"/>
        </w:rPr>
      </w:pPr>
    </w:p>
    <w:p w:rsidR="00B30F32" w:rsidRDefault="00B30F32" w:rsidP="006A3B63">
      <w:pPr>
        <w:rPr>
          <w:rFonts w:ascii="Times New Roman" w:eastAsia="Times New Roman" w:hAnsi="Times New Roman" w:cs="Times New Roman"/>
          <w:b/>
          <w:lang w:eastAsia="hu-HU"/>
        </w:rPr>
      </w:pPr>
    </w:p>
    <w:p w:rsidR="006A3B63" w:rsidRDefault="006A3B63" w:rsidP="006A3B63">
      <w:pPr>
        <w:rPr>
          <w:rFonts w:ascii="Times New Roman" w:eastAsia="Times New Roman" w:hAnsi="Times New Roman" w:cs="Times New Roman"/>
          <w:b/>
          <w:lang w:eastAsia="hu-HU"/>
        </w:rPr>
      </w:pPr>
      <w:r w:rsidRPr="00257D28">
        <w:rPr>
          <w:rFonts w:ascii="Times New Roman" w:eastAsia="Times New Roman" w:hAnsi="Times New Roman" w:cs="Times New Roman"/>
          <w:b/>
          <w:lang w:eastAsia="hu-HU"/>
        </w:rPr>
        <w:t xml:space="preserve">Eligible and non-eligible direct and indirect costs </w:t>
      </w:r>
      <w:r>
        <w:rPr>
          <w:rFonts w:ascii="Times New Roman" w:eastAsia="Times New Roman" w:hAnsi="Times New Roman" w:cs="Times New Roman"/>
          <w:b/>
          <w:lang w:eastAsia="hu-HU"/>
        </w:rPr>
        <w:t>(Elszámolható és nem elszámolható közvetlen és közvetett költségek)</w:t>
      </w:r>
    </w:p>
    <w:p w:rsidR="00B30F32" w:rsidRPr="00044329" w:rsidRDefault="00B30F32" w:rsidP="00B30F3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44329">
        <w:rPr>
          <w:rFonts w:ascii="Times New Roman" w:eastAsia="Times New Roman" w:hAnsi="Times New Roman" w:cs="Times New Roman"/>
          <w:lang w:eastAsia="hu-HU"/>
        </w:rPr>
        <w:t>Direct eligible costs are those which support all the research, management, training and dissemination activities necessary for the cond</w:t>
      </w:r>
      <w:r>
        <w:rPr>
          <w:rFonts w:ascii="Times New Roman" w:eastAsia="Times New Roman" w:hAnsi="Times New Roman" w:cs="Times New Roman"/>
          <w:lang w:eastAsia="hu-HU"/>
        </w:rPr>
        <w:t>uct of the project.</w:t>
      </w:r>
    </w:p>
    <w:p w:rsidR="00B30F32" w:rsidRPr="00257D28" w:rsidRDefault="00B30F32" w:rsidP="006A3B63">
      <w:pPr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lastRenderedPageBreak/>
        <w:t>K</w:t>
      </w:r>
      <w:r w:rsidRPr="00073064">
        <w:rPr>
          <w:rFonts w:ascii="Times New Roman" w:eastAsia="Times New Roman" w:hAnsi="Times New Roman" w:cs="Times New Roman"/>
          <w:b/>
          <w:lang w:eastAsia="hu-HU"/>
        </w:rPr>
        <w:t>özvetlen elszámolható költségek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alatt azokat a költségeket értjük</w:t>
      </w:r>
      <w:r w:rsidRPr="00073064">
        <w:rPr>
          <w:rFonts w:ascii="Times New Roman" w:eastAsia="Times New Roman" w:hAnsi="Times New Roman" w:cs="Times New Roman"/>
          <w:b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/>
          <w:lang w:eastAsia="hu-HU"/>
        </w:rPr>
        <w:t>a</w:t>
      </w:r>
      <w:r w:rsidRPr="00073064">
        <w:rPr>
          <w:rFonts w:ascii="Times New Roman" w:eastAsia="Times New Roman" w:hAnsi="Times New Roman" w:cs="Times New Roman"/>
          <w:b/>
          <w:lang w:eastAsia="hu-HU"/>
        </w:rPr>
        <w:t xml:space="preserve">melyek </w:t>
      </w:r>
      <w:r>
        <w:rPr>
          <w:rFonts w:ascii="Times New Roman" w:eastAsia="Times New Roman" w:hAnsi="Times New Roman" w:cs="Times New Roman"/>
          <w:b/>
          <w:lang w:eastAsia="hu-HU"/>
        </w:rPr>
        <w:t>minden olyan</w:t>
      </w:r>
      <w:r w:rsidRPr="00073064">
        <w:rPr>
          <w:rFonts w:ascii="Times New Roman" w:eastAsia="Times New Roman" w:hAnsi="Times New Roman" w:cs="Times New Roman"/>
          <w:b/>
          <w:lang w:eastAsia="hu-HU"/>
        </w:rPr>
        <w:t xml:space="preserve"> kutatási, menedzsment, képz</w:t>
      </w:r>
      <w:r>
        <w:rPr>
          <w:rFonts w:ascii="Times New Roman" w:eastAsia="Times New Roman" w:hAnsi="Times New Roman" w:cs="Times New Roman"/>
          <w:b/>
          <w:lang w:eastAsia="hu-HU"/>
        </w:rPr>
        <w:t>ési és terjesztési tevékenység</w:t>
      </w:r>
      <w:r w:rsidRPr="00073064">
        <w:rPr>
          <w:rFonts w:ascii="Times New Roman" w:eastAsia="Times New Roman" w:hAnsi="Times New Roman" w:cs="Times New Roman"/>
          <w:b/>
          <w:lang w:eastAsia="hu-HU"/>
        </w:rPr>
        <w:t xml:space="preserve"> támogatását szolgálják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, melyek </w:t>
      </w:r>
      <w:r w:rsidRPr="00073064">
        <w:rPr>
          <w:rFonts w:ascii="Times New Roman" w:eastAsia="Times New Roman" w:hAnsi="Times New Roman" w:cs="Times New Roman"/>
          <w:b/>
          <w:lang w:eastAsia="hu-HU"/>
        </w:rPr>
        <w:t>a projekt végrehajtásához szükséges</w:t>
      </w:r>
      <w:r>
        <w:rPr>
          <w:rFonts w:ascii="Times New Roman" w:eastAsia="Times New Roman" w:hAnsi="Times New Roman" w:cs="Times New Roman"/>
          <w:b/>
          <w:lang w:eastAsia="hu-HU"/>
        </w:rPr>
        <w:t>ek.</w:t>
      </w:r>
    </w:p>
    <w:p w:rsidR="006A3B63" w:rsidRDefault="006A3B63" w:rsidP="006A3B63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Direct eligible </w:t>
      </w:r>
      <w:r w:rsidRPr="00974FE8">
        <w:rPr>
          <w:rFonts w:ascii="Times New Roman" w:eastAsia="Times New Roman" w:hAnsi="Times New Roman" w:cs="Times New Roman"/>
          <w:b/>
          <w:lang w:eastAsia="hu-HU"/>
        </w:rPr>
        <w:t>costs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lang w:eastAsia="hu-HU"/>
        </w:rPr>
        <w:t>elszámolható</w:t>
      </w:r>
      <w:r w:rsidRPr="00807B6B">
        <w:rPr>
          <w:rFonts w:ascii="Times New Roman" w:eastAsia="Times New Roman" w:hAnsi="Times New Roman" w:cs="Times New Roman"/>
          <w:b/>
          <w:lang w:eastAsia="hu-HU"/>
        </w:rPr>
        <w:t xml:space="preserve"> közvetlen költségek</w:t>
      </w:r>
      <w:r>
        <w:rPr>
          <w:rFonts w:ascii="Times New Roman" w:eastAsia="Times New Roman" w:hAnsi="Times New Roman" w:cs="Times New Roman"/>
          <w:lang w:eastAsia="hu-HU"/>
        </w:rPr>
        <w:t>)</w:t>
      </w:r>
    </w:p>
    <w:p w:rsidR="006A3B63" w:rsidRPr="00257D28" w:rsidRDefault="006A3B63" w:rsidP="006A3B63">
      <w:pPr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Personnel Costs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 w:rsidRPr="00807B6B">
        <w:rPr>
          <w:rFonts w:ascii="Times New Roman" w:eastAsia="Times New Roman" w:hAnsi="Times New Roman" w:cs="Times New Roman"/>
          <w:b/>
          <w:lang w:eastAsia="hu-HU"/>
        </w:rPr>
        <w:t>személyi költségek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6A3B63" w:rsidRPr="00257D28" w:rsidRDefault="006A3B63" w:rsidP="006A3B63">
      <w:pPr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Costs for subcontracting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 w:rsidRPr="00807B6B">
        <w:rPr>
          <w:rFonts w:ascii="Times New Roman" w:eastAsia="Times New Roman" w:hAnsi="Times New Roman" w:cs="Times New Roman"/>
          <w:b/>
          <w:lang w:eastAsia="hu-HU"/>
        </w:rPr>
        <w:t>alvállalkozóknak kifizetett összegek</w:t>
      </w:r>
      <w:r>
        <w:rPr>
          <w:rFonts w:ascii="Times New Roman" w:eastAsia="Times New Roman" w:hAnsi="Times New Roman" w:cs="Times New Roman"/>
          <w:lang w:eastAsia="hu-HU"/>
        </w:rPr>
        <w:t>)</w:t>
      </w:r>
    </w:p>
    <w:p w:rsidR="006A3B63" w:rsidRPr="00257D28" w:rsidRDefault="006A3B63" w:rsidP="006A3B63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 Other direct costs such as (</w:t>
      </w:r>
      <w:r w:rsidRPr="00E367ED">
        <w:rPr>
          <w:rFonts w:ascii="Times New Roman" w:eastAsia="Times New Roman" w:hAnsi="Times New Roman" w:cs="Times New Roman"/>
          <w:b/>
          <w:lang w:eastAsia="hu-HU"/>
        </w:rPr>
        <w:t>egyéb közvetlen költségek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úgy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mint)</w:t>
      </w:r>
      <w:r w:rsidRPr="00257D28">
        <w:rPr>
          <w:rFonts w:ascii="Times New Roman" w:eastAsia="Times New Roman" w:hAnsi="Times New Roman" w:cs="Times New Roman"/>
          <w:lang w:eastAsia="hu-HU"/>
        </w:rPr>
        <w:t>:</w:t>
      </w:r>
    </w:p>
    <w:p w:rsidR="006A3B63" w:rsidRDefault="006A3B63" w:rsidP="006A3B63">
      <w:pPr>
        <w:pStyle w:val="Listaszerbekezds"/>
        <w:numPr>
          <w:ilvl w:val="0"/>
          <w:numId w:val="12"/>
        </w:num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Contracting (</w:t>
      </w:r>
      <w:r w:rsidRPr="00807B6B">
        <w:rPr>
          <w:rFonts w:ascii="Times New Roman" w:eastAsia="Times New Roman" w:hAnsi="Times New Roman" w:cs="Times New Roman"/>
          <w:b/>
          <w:lang w:eastAsia="hu-HU"/>
        </w:rPr>
        <w:t>szerződéskötés</w:t>
      </w:r>
      <w:r>
        <w:rPr>
          <w:rFonts w:ascii="Times New Roman" w:eastAsia="Times New Roman" w:hAnsi="Times New Roman" w:cs="Times New Roman"/>
          <w:lang w:eastAsia="hu-HU"/>
        </w:rPr>
        <w:t>)</w:t>
      </w:r>
    </w:p>
    <w:p w:rsidR="006A3B63" w:rsidRPr="00974FE8" w:rsidRDefault="006A3B63" w:rsidP="006A3B63">
      <w:pPr>
        <w:pStyle w:val="Listaszerbekezds"/>
        <w:numPr>
          <w:ilvl w:val="0"/>
          <w:numId w:val="12"/>
        </w:numPr>
        <w:rPr>
          <w:rFonts w:ascii="Times New Roman" w:eastAsia="Times New Roman" w:hAnsi="Times New Roman" w:cs="Times New Roman"/>
          <w:lang w:eastAsia="hu-HU"/>
        </w:rPr>
      </w:pPr>
      <w:r w:rsidRPr="00974FE8">
        <w:rPr>
          <w:rFonts w:ascii="Times New Roman" w:eastAsia="Times New Roman" w:hAnsi="Times New Roman" w:cs="Times New Roman"/>
          <w:lang w:eastAsia="hu-HU"/>
        </w:rPr>
        <w:t>Travel costs and related subsistence allowances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 w:rsidRPr="00807B6B">
        <w:rPr>
          <w:rFonts w:ascii="Times New Roman" w:eastAsia="Times New Roman" w:hAnsi="Times New Roman" w:cs="Times New Roman"/>
          <w:b/>
          <w:lang w:eastAsia="hu-HU"/>
        </w:rPr>
        <w:t>utazási költségek és ahhoz kapcsolódó tartózkodási költségek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974FE8">
        <w:rPr>
          <w:rFonts w:ascii="Times New Roman" w:eastAsia="Times New Roman" w:hAnsi="Times New Roman" w:cs="Times New Roman"/>
          <w:lang w:eastAsia="hu-HU"/>
        </w:rPr>
        <w:t xml:space="preserve">; </w:t>
      </w:r>
    </w:p>
    <w:p w:rsidR="006A3B63" w:rsidRPr="00974FE8" w:rsidRDefault="006A3B63" w:rsidP="006A3B63">
      <w:pPr>
        <w:pStyle w:val="Listaszerbekezds"/>
        <w:numPr>
          <w:ilvl w:val="0"/>
          <w:numId w:val="11"/>
        </w:numPr>
        <w:rPr>
          <w:rFonts w:ascii="Times New Roman" w:eastAsia="Times New Roman" w:hAnsi="Times New Roman" w:cs="Times New Roman"/>
          <w:lang w:eastAsia="hu-HU"/>
        </w:rPr>
      </w:pPr>
      <w:r w:rsidRPr="00974FE8">
        <w:rPr>
          <w:rFonts w:ascii="Times New Roman" w:eastAsia="Times New Roman" w:hAnsi="Times New Roman" w:cs="Times New Roman"/>
          <w:lang w:eastAsia="hu-HU"/>
        </w:rPr>
        <w:t>The depreciation costs for equipment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lang w:eastAsia="hu-HU"/>
        </w:rPr>
        <w:t>eszközök</w:t>
      </w:r>
      <w:r w:rsidRPr="00807B6B">
        <w:rPr>
          <w:rFonts w:ascii="Times New Roman" w:eastAsia="Times New Roman" w:hAnsi="Times New Roman" w:cs="Times New Roman"/>
          <w:b/>
          <w:lang w:eastAsia="hu-HU"/>
        </w:rPr>
        <w:t xml:space="preserve"> amortizációs költségei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974FE8">
        <w:rPr>
          <w:rFonts w:ascii="Times New Roman" w:eastAsia="Times New Roman" w:hAnsi="Times New Roman" w:cs="Times New Roman"/>
          <w:lang w:eastAsia="hu-HU"/>
        </w:rPr>
        <w:t xml:space="preserve">; </w:t>
      </w:r>
    </w:p>
    <w:p w:rsidR="006A3B63" w:rsidRPr="00B03BF8" w:rsidRDefault="006A3B63" w:rsidP="006A3B63">
      <w:pPr>
        <w:pStyle w:val="Listaszerbekezds"/>
        <w:numPr>
          <w:ilvl w:val="0"/>
          <w:numId w:val="11"/>
        </w:numPr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 xml:space="preserve">Costs for other goods and </w:t>
      </w:r>
      <w:r w:rsidRPr="00974FE8">
        <w:rPr>
          <w:rFonts w:ascii="Times New Roman" w:eastAsia="Times New Roman" w:hAnsi="Times New Roman" w:cs="Times New Roman"/>
          <w:lang w:eastAsia="hu-HU"/>
        </w:rPr>
        <w:t>ervices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 w:rsidRPr="00807B6B">
        <w:rPr>
          <w:rFonts w:ascii="Times New Roman" w:eastAsia="Times New Roman" w:hAnsi="Times New Roman" w:cs="Times New Roman"/>
          <w:b/>
          <w:lang w:eastAsia="hu-HU"/>
        </w:rPr>
        <w:t>egyéb áruk és szolgáltatások költségei</w:t>
      </w:r>
      <w:r>
        <w:rPr>
          <w:rFonts w:ascii="Times New Roman" w:eastAsia="Times New Roman" w:hAnsi="Times New Roman" w:cs="Times New Roman"/>
          <w:lang w:eastAsia="hu-HU"/>
        </w:rPr>
        <w:t xml:space="preserve">) </w:t>
      </w:r>
      <w:r w:rsidRPr="00974FE8">
        <w:rPr>
          <w:rFonts w:ascii="Times New Roman" w:eastAsia="Times New Roman" w:hAnsi="Times New Roman" w:cs="Times New Roman"/>
          <w:lang w:eastAsia="hu-HU"/>
        </w:rPr>
        <w:t>[</w:t>
      </w:r>
      <w:r w:rsidRPr="00EA540A">
        <w:rPr>
          <w:rFonts w:ascii="Times New Roman" w:eastAsia="Times New Roman" w:hAnsi="Times New Roman" w:cs="Times New Roman"/>
          <w:lang w:eastAsia="hu-HU"/>
        </w:rPr>
        <w:t>consumables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974FE8">
        <w:rPr>
          <w:rFonts w:ascii="Times New Roman" w:eastAsia="Times New Roman" w:hAnsi="Times New Roman" w:cs="Times New Roman"/>
          <w:lang w:eastAsia="hu-HU"/>
        </w:rPr>
        <w:t xml:space="preserve">and </w:t>
      </w:r>
      <w:r w:rsidRPr="00EA540A">
        <w:rPr>
          <w:rFonts w:ascii="Times New Roman" w:eastAsia="Times New Roman" w:hAnsi="Times New Roman" w:cs="Times New Roman"/>
          <w:lang w:eastAsia="hu-HU"/>
        </w:rPr>
        <w:t>supplies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EA540A">
        <w:rPr>
          <w:rFonts w:ascii="Times New Roman" w:eastAsia="Times New Roman" w:hAnsi="Times New Roman" w:cs="Times New Roman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lang w:eastAsia="hu-HU"/>
        </w:rPr>
        <w:t>fogyóeszközök</w:t>
      </w:r>
      <w:r w:rsidRPr="00EA540A">
        <w:rPr>
          <w:rFonts w:ascii="Times New Roman" w:eastAsia="Times New Roman" w:hAnsi="Times New Roman" w:cs="Times New Roman"/>
          <w:b/>
          <w:lang w:eastAsia="hu-HU"/>
        </w:rPr>
        <w:t xml:space="preserve"> és</w:t>
      </w:r>
      <w:r w:rsidRPr="00807B6B">
        <w:rPr>
          <w:rFonts w:ascii="Times New Roman" w:eastAsia="Times New Roman" w:hAnsi="Times New Roman" w:cs="Times New Roman"/>
          <w:b/>
          <w:lang w:eastAsia="hu-HU"/>
        </w:rPr>
        <w:t xml:space="preserve"> eszközök</w:t>
      </w:r>
      <w:r>
        <w:rPr>
          <w:rFonts w:ascii="Times New Roman" w:eastAsia="Times New Roman" w:hAnsi="Times New Roman" w:cs="Times New Roman"/>
          <w:lang w:eastAsia="hu-HU"/>
        </w:rPr>
        <w:t>/ellátmány)</w:t>
      </w:r>
      <w:r w:rsidRPr="00974FE8">
        <w:rPr>
          <w:rFonts w:ascii="Times New Roman" w:eastAsia="Times New Roman" w:hAnsi="Times New Roman" w:cs="Times New Roman"/>
          <w:lang w:eastAsia="hu-HU"/>
        </w:rPr>
        <w:t xml:space="preserve">; </w:t>
      </w:r>
      <w:r w:rsidRPr="00B03BF8">
        <w:rPr>
          <w:rFonts w:ascii="Times New Roman" w:eastAsia="Times New Roman" w:hAnsi="Times New Roman" w:cs="Times New Roman"/>
          <w:lang w:eastAsia="hu-HU"/>
        </w:rPr>
        <w:t xml:space="preserve">dissemination/publication costs </w:t>
      </w:r>
      <w:r>
        <w:rPr>
          <w:rFonts w:ascii="Times New Roman" w:eastAsia="Times New Roman" w:hAnsi="Times New Roman" w:cs="Times New Roman"/>
          <w:lang w:eastAsia="hu-HU"/>
        </w:rPr>
        <w:t>(</w:t>
      </w:r>
      <w:r w:rsidRPr="00807B6B">
        <w:rPr>
          <w:rFonts w:ascii="Times New Roman" w:eastAsia="Times New Roman" w:hAnsi="Times New Roman" w:cs="Times New Roman"/>
          <w:b/>
          <w:lang w:eastAsia="hu-HU"/>
        </w:rPr>
        <w:t xml:space="preserve">terjesztés/ közzétételi díjak </w:t>
      </w:r>
      <w:r w:rsidRPr="00B03BF8">
        <w:rPr>
          <w:rFonts w:ascii="Times New Roman" w:eastAsia="Times New Roman" w:hAnsi="Times New Roman" w:cs="Times New Roman"/>
          <w:lang w:eastAsia="hu-HU"/>
        </w:rPr>
        <w:t>(page charges and  related fees for publication of results including for Open Access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 w:rsidRPr="005343A6">
        <w:rPr>
          <w:rFonts w:ascii="Times New Roman" w:eastAsia="Times New Roman" w:hAnsi="Times New Roman" w:cs="Times New Roman"/>
          <w:b/>
          <w:lang w:eastAsia="hu-HU"/>
        </w:rPr>
        <w:t xml:space="preserve">a kutatási eredmények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megjelentetésének </w:t>
      </w:r>
      <w:r w:rsidRPr="005343A6">
        <w:rPr>
          <w:rFonts w:ascii="Times New Roman" w:eastAsia="Times New Roman" w:hAnsi="Times New Roman" w:cs="Times New Roman"/>
          <w:b/>
          <w:lang w:eastAsia="hu-HU"/>
        </w:rPr>
        <w:t>oldalankénti díj</w:t>
      </w:r>
      <w:r>
        <w:rPr>
          <w:rFonts w:ascii="Times New Roman" w:eastAsia="Times New Roman" w:hAnsi="Times New Roman" w:cs="Times New Roman"/>
          <w:b/>
          <w:lang w:eastAsia="hu-HU"/>
        </w:rPr>
        <w:t>szabása</w:t>
      </w:r>
      <w:r w:rsidRPr="005343A6">
        <w:rPr>
          <w:rFonts w:ascii="Times New Roman" w:eastAsia="Times New Roman" w:hAnsi="Times New Roman" w:cs="Times New Roman"/>
          <w:b/>
          <w:lang w:eastAsia="hu-HU"/>
        </w:rPr>
        <w:t xml:space="preserve"> és a vonatkozó </w:t>
      </w:r>
      <w:r>
        <w:rPr>
          <w:rFonts w:ascii="Times New Roman" w:eastAsia="Times New Roman" w:hAnsi="Times New Roman" w:cs="Times New Roman"/>
          <w:b/>
          <w:lang w:eastAsia="hu-HU"/>
        </w:rPr>
        <w:t>díjtételek</w:t>
      </w:r>
      <w:r w:rsidRPr="005343A6">
        <w:rPr>
          <w:rFonts w:ascii="Times New Roman" w:eastAsia="Times New Roman" w:hAnsi="Times New Roman" w:cs="Times New Roman"/>
          <w:b/>
          <w:lang w:eastAsia="hu-HU"/>
        </w:rPr>
        <w:t xml:space="preserve"> beleértve a kutatási eredmények nyílt hozzáférésű közzétételét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B03BF8">
        <w:rPr>
          <w:rFonts w:ascii="Times New Roman" w:eastAsia="Times New Roman" w:hAnsi="Times New Roman" w:cs="Times New Roman"/>
          <w:lang w:eastAsia="hu-HU"/>
        </w:rPr>
        <w:t>, IPR costs</w:t>
      </w:r>
      <w:r>
        <w:rPr>
          <w:rFonts w:ascii="Times New Roman" w:eastAsia="Times New Roman" w:hAnsi="Times New Roman" w:cs="Times New Roman"/>
          <w:lang w:eastAsia="hu-HU"/>
        </w:rPr>
        <w:t xml:space="preserve">( </w:t>
      </w:r>
      <w:r w:rsidRPr="00807B6B">
        <w:rPr>
          <w:rFonts w:ascii="Times New Roman" w:eastAsia="Times New Roman" w:hAnsi="Times New Roman" w:cs="Times New Roman"/>
          <w:b/>
          <w:lang w:eastAsia="hu-HU"/>
        </w:rPr>
        <w:t>szellemitulajdon-jogok költsége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B03BF8">
        <w:rPr>
          <w:rFonts w:ascii="Times New Roman" w:eastAsia="Times New Roman" w:hAnsi="Times New Roman" w:cs="Times New Roman"/>
          <w:lang w:eastAsia="hu-HU"/>
        </w:rPr>
        <w:t>, costs of the Certificates on the Financial statements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 w:rsidRPr="00807B6B">
        <w:rPr>
          <w:rFonts w:ascii="Times New Roman" w:eastAsia="Times New Roman" w:hAnsi="Times New Roman" w:cs="Times New Roman"/>
          <w:b/>
          <w:lang w:eastAsia="hu-HU"/>
        </w:rPr>
        <w:t>pénzügyi kimutatásokra vonatkozó igazolások költségei</w:t>
      </w:r>
      <w:r w:rsidRPr="00B03BF8">
        <w:rPr>
          <w:rFonts w:ascii="Times New Roman" w:eastAsia="Times New Roman" w:hAnsi="Times New Roman" w:cs="Times New Roman"/>
          <w:lang w:eastAsia="hu-HU"/>
        </w:rPr>
        <w:t>];</w:t>
      </w:r>
      <w:proofErr w:type="gramEnd"/>
    </w:p>
    <w:p w:rsidR="006A3B63" w:rsidRPr="00974FE8" w:rsidRDefault="006A3B63" w:rsidP="006A3B63">
      <w:pPr>
        <w:pStyle w:val="Listaszerbekezds"/>
        <w:numPr>
          <w:ilvl w:val="0"/>
          <w:numId w:val="11"/>
        </w:numPr>
        <w:rPr>
          <w:rFonts w:ascii="Times New Roman" w:eastAsia="Times New Roman" w:hAnsi="Times New Roman" w:cs="Times New Roman"/>
          <w:lang w:eastAsia="hu-HU"/>
        </w:rPr>
      </w:pPr>
      <w:r w:rsidRPr="00974FE8">
        <w:rPr>
          <w:rFonts w:ascii="Times New Roman" w:eastAsia="Times New Roman" w:hAnsi="Times New Roman" w:cs="Times New Roman"/>
          <w:lang w:eastAsia="hu-HU"/>
        </w:rPr>
        <w:t>Direct costing for Large Research Infrastructures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 w:rsidRPr="005E0E12">
        <w:rPr>
          <w:rFonts w:ascii="Times New Roman" w:eastAsia="Times New Roman" w:hAnsi="Times New Roman" w:cs="Times New Roman"/>
          <w:b/>
          <w:lang w:eastAsia="hu-HU"/>
        </w:rPr>
        <w:t>új költség kategória</w:t>
      </w:r>
      <w:r>
        <w:rPr>
          <w:rFonts w:ascii="Times New Roman" w:eastAsia="Times New Roman" w:hAnsi="Times New Roman" w:cs="Times New Roman"/>
          <w:lang w:eastAsia="hu-HU"/>
        </w:rPr>
        <w:t>, legalább 20 millió eurós értékű nagyszabású kutatási infrastuktúrával rendelkező Host Institution esetében)</w:t>
      </w:r>
    </w:p>
    <w:p w:rsidR="00B30F32" w:rsidRPr="00B30F32" w:rsidRDefault="00B30F32" w:rsidP="00B30F3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30F32">
        <w:rPr>
          <w:rFonts w:ascii="Times New Roman" w:eastAsia="Times New Roman" w:hAnsi="Times New Roman" w:cs="Times New Roman"/>
          <w:b/>
          <w:lang w:eastAsia="hu-HU"/>
        </w:rPr>
        <w:t>Indirect eligible costs</w:t>
      </w:r>
      <w:r w:rsidRPr="00B30F32">
        <w:rPr>
          <w:rFonts w:ascii="Times New Roman" w:eastAsia="Times New Roman" w:hAnsi="Times New Roman" w:cs="Times New Roman"/>
          <w:lang w:eastAsia="hu-HU"/>
        </w:rPr>
        <w:t xml:space="preserve"> are those which cannot be identified as directly attributable to the project, but which are incurred in direct relationship with the project's direct eligible costs.</w:t>
      </w:r>
    </w:p>
    <w:p w:rsidR="00B30F32" w:rsidRDefault="00B30F32" w:rsidP="00B30F3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30F32">
        <w:rPr>
          <w:rFonts w:ascii="Times New Roman" w:eastAsia="Times New Roman" w:hAnsi="Times New Roman" w:cs="Times New Roman"/>
          <w:b/>
          <w:lang w:eastAsia="hu-HU"/>
        </w:rPr>
        <w:t xml:space="preserve">Közvetett elszámolható költségek </w:t>
      </w:r>
      <w:r w:rsidRPr="00B30F32">
        <w:rPr>
          <w:rFonts w:ascii="Times New Roman" w:eastAsia="Times New Roman" w:hAnsi="Times New Roman" w:cs="Times New Roman"/>
          <w:lang w:eastAsia="hu-HU"/>
        </w:rPr>
        <w:t>alatt azokat a költségeket értjük,</w:t>
      </w:r>
      <w:r w:rsidRPr="00B30F32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B30F32">
        <w:rPr>
          <w:rFonts w:ascii="Times New Roman" w:eastAsia="Times New Roman" w:hAnsi="Times New Roman" w:cs="Times New Roman"/>
          <w:lang w:eastAsia="hu-HU"/>
        </w:rPr>
        <w:t>melyek a projekthez közvetlenül társítható költségként nem azonosíthatók, de a projekt közvetlen elszámolható költségeivel közvetlen összefüggésben felmerülő költségként keletkeztek.</w:t>
      </w:r>
    </w:p>
    <w:p w:rsidR="00B30F32" w:rsidRPr="00B30F32" w:rsidRDefault="00B30F32" w:rsidP="00B30F3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A3B63" w:rsidRPr="00257D28" w:rsidRDefault="006A3B63" w:rsidP="006A3B63">
      <w:pPr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b/>
          <w:lang w:eastAsia="hu-HU"/>
        </w:rPr>
        <w:t>Indirect eligible costs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 w:rsidRPr="00E57965">
        <w:rPr>
          <w:rFonts w:ascii="Times New Roman" w:eastAsia="Times New Roman" w:hAnsi="Times New Roman" w:cs="Times New Roman"/>
          <w:b/>
          <w:lang w:eastAsia="hu-HU"/>
        </w:rPr>
        <w:t>elszámolható közvetett költségek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:</w:t>
      </w:r>
    </w:p>
    <w:p w:rsidR="006A3B63" w:rsidRPr="00257D28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Costs related to general administration and management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 w:rsidRPr="000B282E">
        <w:rPr>
          <w:rFonts w:ascii="Times New Roman" w:eastAsia="Times New Roman" w:hAnsi="Times New Roman" w:cs="Times New Roman"/>
          <w:b/>
          <w:lang w:eastAsia="hu-HU"/>
        </w:rPr>
        <w:t>általános adminisztr</w:t>
      </w:r>
      <w:r>
        <w:rPr>
          <w:rFonts w:ascii="Times New Roman" w:eastAsia="Times New Roman" w:hAnsi="Times New Roman" w:cs="Times New Roman"/>
          <w:b/>
          <w:lang w:eastAsia="hu-HU"/>
        </w:rPr>
        <w:t>ációs</w:t>
      </w:r>
      <w:r w:rsidRPr="000B282E">
        <w:rPr>
          <w:rFonts w:ascii="Times New Roman" w:eastAsia="Times New Roman" w:hAnsi="Times New Roman" w:cs="Times New Roman"/>
          <w:b/>
          <w:lang w:eastAsia="hu-HU"/>
        </w:rPr>
        <w:t xml:space="preserve"> és menedzsment költségek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6A3B63" w:rsidRPr="00257D28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 Costs of office or laboratory space, including rent or depreciation </w:t>
      </w:r>
      <w:r w:rsidRPr="00257D28">
        <w:rPr>
          <w:rFonts w:ascii="Times New Roman" w:eastAsia="Times New Roman" w:hAnsi="Times New Roman" w:cs="Times New Roman"/>
          <w:lang w:eastAsia="hu-HU"/>
        </w:rPr>
        <w:t>of</w:t>
      </w:r>
    </w:p>
    <w:p w:rsidR="006A3B63" w:rsidRPr="00257D28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buildings and </w:t>
      </w:r>
      <w:r w:rsidRPr="00257D28">
        <w:rPr>
          <w:rFonts w:ascii="Times New Roman" w:eastAsia="Times New Roman" w:hAnsi="Times New Roman" w:cs="Times New Roman"/>
          <w:lang w:eastAsia="hu-HU"/>
        </w:rPr>
        <w:t>equi</w:t>
      </w:r>
      <w:r>
        <w:rPr>
          <w:rFonts w:ascii="Times New Roman" w:eastAsia="Times New Roman" w:hAnsi="Times New Roman" w:cs="Times New Roman"/>
          <w:lang w:eastAsia="hu-HU"/>
        </w:rPr>
        <w:t xml:space="preserve">pment, and related expenditure such as </w:t>
      </w:r>
      <w:r w:rsidRPr="00257D28">
        <w:rPr>
          <w:rFonts w:ascii="Times New Roman" w:eastAsia="Times New Roman" w:hAnsi="Times New Roman" w:cs="Times New Roman"/>
          <w:lang w:eastAsia="hu-HU"/>
        </w:rPr>
        <w:t xml:space="preserve">water, </w:t>
      </w:r>
    </w:p>
    <w:p w:rsidR="006A3B63" w:rsidRPr="00257D28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heating, electricity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 w:rsidRPr="0063362E">
        <w:rPr>
          <w:rFonts w:ascii="Times New Roman" w:eastAsia="Times New Roman" w:hAnsi="Times New Roman" w:cs="Times New Roman"/>
          <w:b/>
          <w:lang w:eastAsia="hu-HU"/>
        </w:rPr>
        <w:t>iroda és laboratóriumi helység költségei</w:t>
      </w:r>
      <w:r>
        <w:rPr>
          <w:rFonts w:ascii="Times New Roman" w:eastAsia="Times New Roman" w:hAnsi="Times New Roman" w:cs="Times New Roman"/>
          <w:lang w:eastAsia="hu-HU"/>
        </w:rPr>
        <w:t xml:space="preserve">, </w:t>
      </w:r>
      <w:r w:rsidRPr="00085BA4">
        <w:rPr>
          <w:rFonts w:ascii="Times New Roman" w:eastAsia="Times New Roman" w:hAnsi="Times New Roman" w:cs="Times New Roman"/>
          <w:b/>
          <w:lang w:eastAsia="hu-HU"/>
        </w:rPr>
        <w:t>beleértve az eszközök és az épületek bérleti díját vagy amortizációját, valamint az ehhez kapcsolódó víz-, elektromos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áram- </w:t>
      </w:r>
      <w:r w:rsidRPr="00085BA4">
        <w:rPr>
          <w:rFonts w:ascii="Times New Roman" w:eastAsia="Times New Roman" w:hAnsi="Times New Roman" w:cs="Times New Roman"/>
          <w:b/>
          <w:lang w:eastAsia="hu-HU"/>
        </w:rPr>
        <w:t>és fűtés díjakat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6A3B63" w:rsidRPr="00257D28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Maintenance, insurance and safety costs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 w:rsidRPr="00152467">
        <w:rPr>
          <w:rFonts w:ascii="Times New Roman" w:eastAsia="Times New Roman" w:hAnsi="Times New Roman" w:cs="Times New Roman"/>
          <w:b/>
          <w:lang w:eastAsia="hu-HU"/>
        </w:rPr>
        <w:t>karbantartás, biztosítás és biztonsági költségek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6A3B63" w:rsidRPr="00257D28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 xml:space="preserve"> Communication expenses, network connection charges, postal </w:t>
      </w:r>
      <w:r w:rsidRPr="00257D28">
        <w:rPr>
          <w:rFonts w:ascii="Times New Roman" w:eastAsia="Times New Roman" w:hAnsi="Times New Roman" w:cs="Times New Roman"/>
          <w:lang w:eastAsia="hu-HU"/>
        </w:rPr>
        <w:t xml:space="preserve">charges </w:t>
      </w:r>
    </w:p>
    <w:p w:rsidR="006A3B63" w:rsidRPr="00257D28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and office supplies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 w:rsidRPr="00366096">
        <w:rPr>
          <w:rFonts w:ascii="Times New Roman" w:eastAsia="Times New Roman" w:hAnsi="Times New Roman" w:cs="Times New Roman"/>
          <w:b/>
          <w:lang w:eastAsia="hu-HU"/>
        </w:rPr>
        <w:t>kommunikácóval kapcsolatban felmerült költségek, hálózati csatlakozás költségei,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366096">
        <w:rPr>
          <w:rFonts w:ascii="Times New Roman" w:eastAsia="Times New Roman" w:hAnsi="Times New Roman" w:cs="Times New Roman"/>
          <w:b/>
          <w:lang w:eastAsia="hu-HU"/>
        </w:rPr>
        <w:t>postaköltség és irodaszerek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költségei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6A3B63" w:rsidRPr="00257D28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Common office equipment such as PCs, laptops, office software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 w:rsidRPr="00551063">
        <w:rPr>
          <w:rFonts w:ascii="Times New Roman" w:eastAsia="Times New Roman" w:hAnsi="Times New Roman" w:cs="Times New Roman"/>
          <w:b/>
          <w:lang w:eastAsia="hu-HU"/>
        </w:rPr>
        <w:t>közös irodai berendezések</w:t>
      </w:r>
      <w:r>
        <w:rPr>
          <w:rFonts w:ascii="Times New Roman" w:eastAsia="Times New Roman" w:hAnsi="Times New Roman" w:cs="Times New Roman"/>
          <w:lang w:eastAsia="hu-HU"/>
        </w:rPr>
        <w:t xml:space="preserve">, pl. </w:t>
      </w:r>
      <w:r w:rsidRPr="00551063">
        <w:rPr>
          <w:rFonts w:ascii="Times New Roman" w:eastAsia="Times New Roman" w:hAnsi="Times New Roman" w:cs="Times New Roman"/>
          <w:b/>
          <w:lang w:eastAsia="hu-HU"/>
        </w:rPr>
        <w:t>személyi számítógépek, laptopok, irodai s</w:t>
      </w:r>
      <w:r>
        <w:rPr>
          <w:rFonts w:ascii="Times New Roman" w:eastAsia="Times New Roman" w:hAnsi="Times New Roman" w:cs="Times New Roman"/>
          <w:b/>
          <w:lang w:eastAsia="hu-HU"/>
        </w:rPr>
        <w:t>zoftve</w:t>
      </w:r>
      <w:r w:rsidRPr="00551063">
        <w:rPr>
          <w:rFonts w:ascii="Times New Roman" w:eastAsia="Times New Roman" w:hAnsi="Times New Roman" w:cs="Times New Roman"/>
          <w:b/>
          <w:lang w:eastAsia="hu-HU"/>
        </w:rPr>
        <w:t>rek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6A3B63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Miscellaneous recurring consumables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 w:rsidRPr="007D7EDB">
        <w:rPr>
          <w:rFonts w:ascii="Times New Roman" w:eastAsia="Times New Roman" w:hAnsi="Times New Roman" w:cs="Times New Roman"/>
          <w:b/>
          <w:lang w:eastAsia="hu-HU"/>
        </w:rPr>
        <w:t>különböző fogyasztási javak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.</w:t>
      </w:r>
    </w:p>
    <w:p w:rsidR="006A3B63" w:rsidRPr="00257D28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30F32" w:rsidRDefault="00B30F32" w:rsidP="006A3B63">
      <w:pPr>
        <w:rPr>
          <w:rFonts w:ascii="Times New Roman" w:eastAsia="Times New Roman" w:hAnsi="Times New Roman" w:cs="Times New Roman"/>
          <w:b/>
          <w:lang w:eastAsia="hu-HU"/>
        </w:rPr>
      </w:pPr>
    </w:p>
    <w:p w:rsidR="006A3B63" w:rsidRPr="00257D28" w:rsidRDefault="006A3B63" w:rsidP="006A3B63">
      <w:pPr>
        <w:rPr>
          <w:rFonts w:ascii="Times New Roman" w:eastAsia="Times New Roman" w:hAnsi="Times New Roman" w:cs="Times New Roman"/>
          <w:b/>
          <w:lang w:eastAsia="hu-HU"/>
        </w:rPr>
      </w:pPr>
      <w:r w:rsidRPr="00257D28">
        <w:rPr>
          <w:rFonts w:ascii="Times New Roman" w:eastAsia="Times New Roman" w:hAnsi="Times New Roman" w:cs="Times New Roman"/>
          <w:b/>
          <w:lang w:eastAsia="hu-HU"/>
        </w:rPr>
        <w:t>Non-eligible costs cannot be reimbursed through the ERC grant, in particular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(Azok a nem elszámolható költségek, amelyeket ERC támogatással nem lehet megtéríteni)</w:t>
      </w:r>
      <w:r w:rsidRPr="00257D28">
        <w:rPr>
          <w:rFonts w:ascii="Times New Roman" w:eastAsia="Times New Roman" w:hAnsi="Times New Roman" w:cs="Times New Roman"/>
          <w:b/>
          <w:lang w:eastAsia="hu-HU"/>
        </w:rPr>
        <w:t>:</w:t>
      </w:r>
    </w:p>
    <w:p w:rsidR="006A3B63" w:rsidRPr="00257D28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Costs related to return on capital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lang w:eastAsia="hu-HU"/>
        </w:rPr>
        <w:t>tőkehozamhoz kapcsolódó költségek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6A3B63" w:rsidRPr="00257D28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Debt and debt service charges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 w:rsidRPr="007D7EDB">
        <w:rPr>
          <w:rFonts w:ascii="Times New Roman" w:eastAsia="Times New Roman" w:hAnsi="Times New Roman" w:cs="Times New Roman"/>
          <w:b/>
          <w:lang w:eastAsia="hu-HU"/>
        </w:rPr>
        <w:t>adósság- és adósságszolgálati terhek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6A3B63" w:rsidRPr="00257D28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Provisions for possible future losses or debts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 w:rsidRPr="00E33C97">
        <w:rPr>
          <w:rFonts w:ascii="Times New Roman" w:eastAsia="Times New Roman" w:hAnsi="Times New Roman" w:cs="Times New Roman"/>
          <w:b/>
          <w:lang w:eastAsia="hu-HU"/>
        </w:rPr>
        <w:t xml:space="preserve">lehetséges jövőbeni veszteségekre vagy </w:t>
      </w:r>
      <w:r w:rsidR="004B7CB5">
        <w:rPr>
          <w:rFonts w:ascii="Times New Roman" w:eastAsia="Times New Roman" w:hAnsi="Times New Roman" w:cs="Times New Roman"/>
          <w:b/>
          <w:lang w:eastAsia="hu-HU"/>
        </w:rPr>
        <w:t>díjakra</w:t>
      </w:r>
      <w:r w:rsidRPr="00E33C97">
        <w:rPr>
          <w:rFonts w:ascii="Times New Roman" w:eastAsia="Times New Roman" w:hAnsi="Times New Roman" w:cs="Times New Roman"/>
          <w:b/>
          <w:lang w:eastAsia="hu-HU"/>
        </w:rPr>
        <w:t xml:space="preserve"> képzett tartalékok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6A3B63" w:rsidRPr="00257D28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Interest owed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 w:rsidRPr="00E33C97">
        <w:rPr>
          <w:rFonts w:ascii="Times New Roman" w:eastAsia="Times New Roman" w:hAnsi="Times New Roman" w:cs="Times New Roman"/>
          <w:b/>
          <w:lang w:eastAsia="hu-HU"/>
        </w:rPr>
        <w:t>fizetendő kamatok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6A3B63" w:rsidRPr="00257D28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Doubtful debts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lang w:eastAsia="hu-HU"/>
        </w:rPr>
        <w:t>kétes követelések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6A3B63" w:rsidRPr="00257D28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Currency exchange losses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 w:rsidRPr="00E33C97">
        <w:rPr>
          <w:rFonts w:ascii="Times New Roman" w:eastAsia="Times New Roman" w:hAnsi="Times New Roman" w:cs="Times New Roman"/>
          <w:b/>
          <w:lang w:eastAsia="hu-HU"/>
        </w:rPr>
        <w:t>árfolyamveszteség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6A3B63" w:rsidRPr="00257D28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Excessive or reckless expenditure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 w:rsidRPr="00A00460">
        <w:rPr>
          <w:rFonts w:ascii="Times New Roman" w:eastAsia="Times New Roman" w:hAnsi="Times New Roman" w:cs="Times New Roman"/>
          <w:b/>
          <w:lang w:eastAsia="hu-HU"/>
        </w:rPr>
        <w:t>túlzott vagy meggondolatlan kiadások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 xml:space="preserve">; </w:t>
      </w:r>
    </w:p>
    <w:p w:rsidR="006A3B63" w:rsidRPr="00257D28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Costs reimbursed under another EU grant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 w:rsidRPr="00E33C97">
        <w:rPr>
          <w:rFonts w:ascii="Times New Roman" w:eastAsia="Times New Roman" w:hAnsi="Times New Roman" w:cs="Times New Roman"/>
          <w:b/>
          <w:lang w:eastAsia="hu-HU"/>
        </w:rPr>
        <w:t>más EU-s p</w:t>
      </w:r>
      <w:r>
        <w:rPr>
          <w:rFonts w:ascii="Times New Roman" w:eastAsia="Times New Roman" w:hAnsi="Times New Roman" w:cs="Times New Roman"/>
          <w:b/>
          <w:lang w:eastAsia="hu-HU"/>
        </w:rPr>
        <w:t>ályázatokba</w:t>
      </w:r>
      <w:r w:rsidRPr="00E33C97">
        <w:rPr>
          <w:rFonts w:ascii="Times New Roman" w:eastAsia="Times New Roman" w:hAnsi="Times New Roman" w:cs="Times New Roman"/>
          <w:b/>
          <w:lang w:eastAsia="hu-HU"/>
        </w:rPr>
        <w:t>n megtérített költségek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 xml:space="preserve">; </w:t>
      </w:r>
    </w:p>
    <w:p w:rsidR="006A3B63" w:rsidRPr="00257D28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Deductible VAT</w:t>
      </w:r>
      <w:r>
        <w:rPr>
          <w:rFonts w:ascii="Times New Roman" w:eastAsia="Times New Roman" w:hAnsi="Times New Roman" w:cs="Times New Roman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lang w:eastAsia="hu-HU"/>
        </w:rPr>
        <w:t>levonható</w:t>
      </w:r>
      <w:r w:rsidRPr="00A00460">
        <w:rPr>
          <w:rFonts w:ascii="Times New Roman" w:eastAsia="Times New Roman" w:hAnsi="Times New Roman" w:cs="Times New Roman"/>
          <w:b/>
          <w:lang w:eastAsia="hu-HU"/>
        </w:rPr>
        <w:t xml:space="preserve"> HÉA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6A3B63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30F32" w:rsidRPr="00C37043" w:rsidRDefault="00B30F32" w:rsidP="00B30F32">
      <w:pPr>
        <w:rPr>
          <w:rFonts w:ascii="Times New Roman" w:eastAsia="Times New Roman" w:hAnsi="Times New Roman" w:cs="Times New Roman"/>
          <w:lang w:eastAsia="hu-HU"/>
        </w:rPr>
      </w:pPr>
      <w:r w:rsidRPr="00C37043">
        <w:rPr>
          <w:rFonts w:ascii="Times New Roman" w:eastAsia="Times New Roman" w:hAnsi="Times New Roman" w:cs="Times New Roman"/>
          <w:lang w:eastAsia="hu-HU"/>
        </w:rPr>
        <w:t>4 – Ethics</w:t>
      </w:r>
      <w:r>
        <w:rPr>
          <w:rFonts w:ascii="Times New Roman" w:eastAsia="Times New Roman" w:hAnsi="Times New Roman" w:cs="Times New Roman"/>
          <w:lang w:eastAsia="hu-HU"/>
        </w:rPr>
        <w:t xml:space="preserve"> (Etikai alapelvek)</w:t>
      </w:r>
    </w:p>
    <w:p w:rsidR="00B30F32" w:rsidRPr="00C37043" w:rsidRDefault="00B30F32" w:rsidP="00B30F32">
      <w:pPr>
        <w:rPr>
          <w:rFonts w:ascii="Times New Roman" w:eastAsia="Times New Roman" w:hAnsi="Times New Roman" w:cs="Times New Roman"/>
          <w:lang w:eastAsia="hu-HU"/>
        </w:rPr>
      </w:pPr>
      <w:r w:rsidRPr="00C37043">
        <w:rPr>
          <w:rFonts w:ascii="Times New Roman" w:eastAsia="Times New Roman" w:hAnsi="Times New Roman" w:cs="Times New Roman"/>
          <w:lang w:eastAsia="hu-HU"/>
        </w:rPr>
        <w:t>5 – Call specific questions</w:t>
      </w:r>
      <w:r>
        <w:rPr>
          <w:rFonts w:ascii="Times New Roman" w:eastAsia="Times New Roman" w:hAnsi="Times New Roman" w:cs="Times New Roman"/>
          <w:lang w:eastAsia="hu-HU"/>
        </w:rPr>
        <w:t xml:space="preserve"> (Pályázati felhívás egyedi kérdései)</w:t>
      </w:r>
    </w:p>
    <w:p w:rsidR="00B30F32" w:rsidRDefault="00B30F3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A3B63" w:rsidRPr="00B30F32" w:rsidRDefault="006A3B63" w:rsidP="006A3B6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3B63" w:rsidRPr="003E7234" w:rsidRDefault="006A3B63" w:rsidP="006A3B63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melléklet</w:t>
      </w:r>
    </w:p>
    <w:p w:rsidR="006A3B63" w:rsidRDefault="006A3B63" w:rsidP="006A3B63">
      <w:pPr>
        <w:pStyle w:val="Norm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ERC-2015-Work Programme- 3 domains (3 tudományterület)</w:t>
      </w:r>
    </w:p>
    <w:p w:rsidR="006A3B63" w:rsidRPr="00AF0C4C" w:rsidRDefault="006A3B63" w:rsidP="006A3B63">
      <w:pPr>
        <w:pStyle w:val="Norm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F0C4C">
        <w:rPr>
          <w:b/>
          <w:sz w:val="28"/>
          <w:szCs w:val="28"/>
        </w:rPr>
        <w:t>Physical Sciences &amp; Engineering</w:t>
      </w:r>
    </w:p>
    <w:p w:rsidR="006A3B63" w:rsidRPr="001B55E5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1B55E5">
        <w:rPr>
          <w:b/>
        </w:rPr>
        <w:t>PE1  Mathematics</w:t>
      </w:r>
      <w:proofErr w:type="gramEnd"/>
    </w:p>
    <w:p w:rsidR="006A3B63" w:rsidRDefault="006A3B63" w:rsidP="006A3B63">
      <w:pPr>
        <w:pStyle w:val="NormlWeb"/>
        <w:spacing w:before="0" w:beforeAutospacing="0" w:after="0" w:afterAutospacing="0"/>
      </w:pPr>
      <w:r>
        <w:t xml:space="preserve">All areas of mathematics, pure and applied, plus mathematical foundations of computer 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>science, mathematical physics and statistics.</w:t>
      </w:r>
    </w:p>
    <w:p w:rsidR="006A3B63" w:rsidRPr="001B55E5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1B55E5">
        <w:rPr>
          <w:b/>
        </w:rPr>
        <w:t>PE2  Fundamental</w:t>
      </w:r>
      <w:proofErr w:type="gramEnd"/>
      <w:r w:rsidRPr="001B55E5">
        <w:rPr>
          <w:b/>
        </w:rPr>
        <w:t xml:space="preserve"> Constituents of Matter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>Particle, nuclear, plasma, atomic, molecular, gas, and optical physics.</w:t>
      </w:r>
    </w:p>
    <w:p w:rsidR="006A3B63" w:rsidRPr="001B55E5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1B55E5">
        <w:rPr>
          <w:b/>
        </w:rPr>
        <w:t>PE3  Condensed</w:t>
      </w:r>
      <w:proofErr w:type="gramEnd"/>
      <w:r w:rsidRPr="001B55E5">
        <w:rPr>
          <w:b/>
        </w:rPr>
        <w:t xml:space="preserve"> Matter Physics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>Structure, electronic properties, fluids, nanosciences, biophysics.</w:t>
      </w:r>
    </w:p>
    <w:p w:rsidR="006A3B63" w:rsidRPr="001B55E5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1B55E5">
        <w:rPr>
          <w:b/>
        </w:rPr>
        <w:t>PE4  Physical</w:t>
      </w:r>
      <w:proofErr w:type="gramEnd"/>
      <w:r w:rsidRPr="001B55E5">
        <w:rPr>
          <w:b/>
        </w:rPr>
        <w:t xml:space="preserve"> and Analytical Chemical Sciences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>Analytical chemistry, chemical theory, physical chemistry/chemical physics.</w:t>
      </w:r>
    </w:p>
    <w:p w:rsidR="006A3B63" w:rsidRPr="001B55E5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1B55E5">
        <w:rPr>
          <w:b/>
        </w:rPr>
        <w:t>PE5  Synthetic</w:t>
      </w:r>
      <w:proofErr w:type="gramEnd"/>
      <w:r w:rsidRPr="001B55E5">
        <w:rPr>
          <w:b/>
        </w:rPr>
        <w:t xml:space="preserve"> Chemistry and Materials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 xml:space="preserve">Materials synthesis, structure-properties relations, functional and advanced materials, 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>molecular architecture, organic chemistry.</w:t>
      </w:r>
    </w:p>
    <w:p w:rsidR="006A3B63" w:rsidRPr="001B55E5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1B55E5">
        <w:rPr>
          <w:b/>
        </w:rPr>
        <w:t>PE6  Computer</w:t>
      </w:r>
      <w:proofErr w:type="gramEnd"/>
      <w:r w:rsidRPr="001B55E5">
        <w:rPr>
          <w:b/>
        </w:rPr>
        <w:t xml:space="preserve"> Science and Informatics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 xml:space="preserve">Informatics and information systems, computer science, scientific comput ing, intelligent 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>systems.</w:t>
      </w:r>
    </w:p>
    <w:p w:rsidR="006A3B63" w:rsidRPr="001B55E5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1B55E5">
        <w:rPr>
          <w:b/>
        </w:rPr>
        <w:t>PE7  Systems</w:t>
      </w:r>
      <w:proofErr w:type="gramEnd"/>
      <w:r w:rsidRPr="001B55E5">
        <w:rPr>
          <w:b/>
        </w:rPr>
        <w:t xml:space="preserve"> and Communication Engineering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>Electrical, electronic, communication, optical and systems engineering.</w:t>
      </w:r>
    </w:p>
    <w:p w:rsidR="006A3B63" w:rsidRPr="001B55E5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1B55E5">
        <w:rPr>
          <w:b/>
        </w:rPr>
        <w:t>PE8  Products</w:t>
      </w:r>
      <w:proofErr w:type="gramEnd"/>
      <w:r w:rsidRPr="001B55E5">
        <w:rPr>
          <w:b/>
        </w:rPr>
        <w:t xml:space="preserve"> and Processes Engineering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 xml:space="preserve">Product design, process design and control, construction methods, civil engineering, energy 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>processes, material engineering.</w:t>
      </w:r>
    </w:p>
    <w:p w:rsidR="006A3B63" w:rsidRPr="001B55E5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1B55E5">
        <w:rPr>
          <w:b/>
        </w:rPr>
        <w:t>PE9  Universe</w:t>
      </w:r>
      <w:proofErr w:type="gramEnd"/>
      <w:r w:rsidRPr="001B55E5">
        <w:rPr>
          <w:b/>
        </w:rPr>
        <w:t xml:space="preserve"> Sciences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 xml:space="preserve">Astro-physics/chemistry/biology; solar system; stellar, galactic and extragalactic astronomy, 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>planetary systems, cosmology, space science, instrumentation.</w:t>
      </w:r>
    </w:p>
    <w:p w:rsidR="006A3B63" w:rsidRPr="001B55E5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1B55E5">
        <w:rPr>
          <w:b/>
        </w:rPr>
        <w:t>PE10  Earth</w:t>
      </w:r>
      <w:proofErr w:type="gramEnd"/>
      <w:r w:rsidRPr="001B55E5">
        <w:rPr>
          <w:b/>
        </w:rPr>
        <w:t xml:space="preserve"> System Science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 xml:space="preserve">Physical geography, geology, geophysics, atmospheric sciences, oceanography, climatology, 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>cryology, ecology, global environmental change, biogeochemical cycles, natural resources management.</w:t>
      </w:r>
    </w:p>
    <w:p w:rsidR="006A3B63" w:rsidRDefault="006A3B63" w:rsidP="006A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:rsidR="006A3B63" w:rsidRDefault="006A3B63" w:rsidP="006A3B63">
      <w:pPr>
        <w:pStyle w:val="Norm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C00D6C">
        <w:rPr>
          <w:b/>
          <w:sz w:val="28"/>
          <w:szCs w:val="28"/>
        </w:rPr>
        <w:lastRenderedPageBreak/>
        <w:t>Life Sciences</w:t>
      </w:r>
    </w:p>
    <w:p w:rsidR="006A3B63" w:rsidRPr="00C00D6C" w:rsidRDefault="006A3B63" w:rsidP="006A3B63">
      <w:pPr>
        <w:pStyle w:val="Norm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3B63" w:rsidRPr="00C00D6C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C00D6C">
        <w:rPr>
          <w:b/>
        </w:rPr>
        <w:t>LS1  Molecular</w:t>
      </w:r>
      <w:proofErr w:type="gramEnd"/>
      <w:r w:rsidRPr="00C00D6C">
        <w:rPr>
          <w:b/>
        </w:rPr>
        <w:t xml:space="preserve"> and Structural Biology and Biochemistry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 xml:space="preserve">Molecular synthesis, modification and interaction, biochemistry, biophysics, structural 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>biology, metabolism, signal transduction.</w:t>
      </w:r>
    </w:p>
    <w:p w:rsidR="006A3B63" w:rsidRPr="00C00D6C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C00D6C">
        <w:rPr>
          <w:b/>
        </w:rPr>
        <w:t>LS2  Genetics</w:t>
      </w:r>
      <w:proofErr w:type="gramEnd"/>
      <w:r w:rsidRPr="00C00D6C">
        <w:rPr>
          <w:b/>
        </w:rPr>
        <w:t>, Genomics, Bioinformatics and Systems Biology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>Molecular and population genetics, genomics, transcriptomics, proteomics, metabolomics, bioinformatics, computational biology, biostatistics</w:t>
      </w:r>
      <w:proofErr w:type="gramStart"/>
      <w:r>
        <w:t>,  biological</w:t>
      </w:r>
      <w:proofErr w:type="gramEnd"/>
      <w:r>
        <w:t xml:space="preserve"> modelling  and  simulation, systems biology, genetic epidemiology.</w:t>
      </w:r>
    </w:p>
    <w:p w:rsidR="006A3B63" w:rsidRPr="00C00D6C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C00D6C">
        <w:rPr>
          <w:b/>
        </w:rPr>
        <w:t>LS3  Cellular</w:t>
      </w:r>
      <w:proofErr w:type="gramEnd"/>
      <w:r w:rsidRPr="00C00D6C">
        <w:rPr>
          <w:b/>
        </w:rPr>
        <w:t xml:space="preserve"> and Developmental Biology</w:t>
      </w:r>
    </w:p>
    <w:p w:rsidR="006A3B63" w:rsidRDefault="006A3B63" w:rsidP="006A3B63">
      <w:pPr>
        <w:pStyle w:val="NormlWeb"/>
        <w:spacing w:before="0" w:beforeAutospacing="0" w:after="0" w:afterAutospacing="0"/>
      </w:pPr>
      <w:proofErr w:type="gramStart"/>
      <w:r>
        <w:t>Cell  biology</w:t>
      </w:r>
      <w:proofErr w:type="gramEnd"/>
      <w:r>
        <w:t>, cell  physiology,  signal  transduction,  organogenesis,  developmental  genetics, pattern formation in plants and animals, stem cell biology.</w:t>
      </w:r>
    </w:p>
    <w:p w:rsidR="006A3B63" w:rsidRPr="00C00D6C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C00D6C">
        <w:rPr>
          <w:b/>
        </w:rPr>
        <w:t>LS4  Physiology</w:t>
      </w:r>
      <w:proofErr w:type="gramEnd"/>
      <w:r w:rsidRPr="00C00D6C">
        <w:rPr>
          <w:b/>
        </w:rPr>
        <w:t>, Pathophysiology and Endocrinology</w:t>
      </w:r>
    </w:p>
    <w:p w:rsidR="006A3B63" w:rsidRDefault="006A3B63" w:rsidP="006A3B63">
      <w:pPr>
        <w:pStyle w:val="NormlWeb"/>
        <w:spacing w:before="0" w:beforeAutospacing="0" w:after="0" w:afterAutospacing="0"/>
      </w:pPr>
      <w:proofErr w:type="gramStart"/>
      <w:r>
        <w:t>Organ  physiology</w:t>
      </w:r>
      <w:proofErr w:type="gramEnd"/>
      <w:r>
        <w:t xml:space="preserve">, pathophysiology,  endocrinology,  metabolism,  ageing,  tumorigenesis, 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>cardiovascular disease, metabolic syndrome.</w:t>
      </w:r>
    </w:p>
    <w:p w:rsidR="006A3B63" w:rsidRPr="00C00D6C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C00D6C">
        <w:rPr>
          <w:b/>
        </w:rPr>
        <w:t>LS5  Neurosciences</w:t>
      </w:r>
      <w:proofErr w:type="gramEnd"/>
      <w:r w:rsidRPr="00C00D6C">
        <w:rPr>
          <w:b/>
        </w:rPr>
        <w:t xml:space="preserve"> and Neural Disorders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 xml:space="preserve">Neurobiology, neuroanatomy, neurophysiology, neurochemistry, neuropharmacology, 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>neuroimaging, systems neuroscience, neurological and psychiatric disorders.</w:t>
      </w:r>
    </w:p>
    <w:p w:rsidR="006A3B63" w:rsidRPr="00C00D6C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C00D6C">
        <w:rPr>
          <w:b/>
        </w:rPr>
        <w:t>LS6  Immunity</w:t>
      </w:r>
      <w:proofErr w:type="gramEnd"/>
      <w:r w:rsidRPr="00C00D6C">
        <w:rPr>
          <w:b/>
        </w:rPr>
        <w:t xml:space="preserve"> and Infection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 xml:space="preserve">The </w:t>
      </w:r>
      <w:proofErr w:type="gramStart"/>
      <w:r>
        <w:t>immune  system</w:t>
      </w:r>
      <w:proofErr w:type="gramEnd"/>
      <w:r>
        <w:t xml:space="preserve">  and  related  disorders,  infectious agents  and  diseases,  prevention  and treatment of infection.</w:t>
      </w:r>
    </w:p>
    <w:p w:rsidR="006A3B63" w:rsidRPr="00C00D6C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C00D6C">
        <w:rPr>
          <w:b/>
        </w:rPr>
        <w:t>LS7  Diagnostic</w:t>
      </w:r>
      <w:proofErr w:type="gramEnd"/>
      <w:r w:rsidRPr="00C00D6C">
        <w:rPr>
          <w:b/>
        </w:rPr>
        <w:t xml:space="preserve"> Tools, Therapies and Public Health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 xml:space="preserve">Aetiology, diagnosis and treatment of disease, public health, epidemiology, pharmacology, 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>clinical medicine, regenerative medicine, medical ethics.</w:t>
      </w:r>
    </w:p>
    <w:p w:rsidR="006A3B63" w:rsidRPr="00C00D6C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C00D6C">
        <w:rPr>
          <w:b/>
        </w:rPr>
        <w:t>LS8  Evolutionary</w:t>
      </w:r>
      <w:proofErr w:type="gramEnd"/>
      <w:r w:rsidRPr="00C00D6C">
        <w:rPr>
          <w:b/>
        </w:rPr>
        <w:t>, Population and Environmental Biology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 xml:space="preserve">Evolution, ecology, animal behaviour, population biology, biodiversity, biogeography, marine 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>biology, eco-toxicology, microbial ecology.</w:t>
      </w:r>
    </w:p>
    <w:p w:rsidR="006A3B63" w:rsidRPr="00C00D6C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C00D6C">
        <w:rPr>
          <w:b/>
        </w:rPr>
        <w:t>LS9  Applied</w:t>
      </w:r>
      <w:proofErr w:type="gramEnd"/>
      <w:r w:rsidRPr="00C00D6C">
        <w:rPr>
          <w:b/>
        </w:rPr>
        <w:t xml:space="preserve"> Life Sciences and Non-Medical Biotechnology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>Applied  plant  and  animal  sciences,  food  sciences,  forestry,  industrial,  environmental  and non-medical  biotechnologies,  bioengineering,  synthetic  and  chemical biology, biomimetics</w:t>
      </w:r>
      <w:proofErr w:type="gramStart"/>
      <w:r>
        <w:t>,bioremediation</w:t>
      </w:r>
      <w:proofErr w:type="gramEnd"/>
      <w:r>
        <w:t>.</w:t>
      </w:r>
    </w:p>
    <w:p w:rsidR="006A3B63" w:rsidRDefault="006A3B63" w:rsidP="006A3B63">
      <w:pPr>
        <w:pStyle w:val="NormlWeb"/>
        <w:spacing w:before="0" w:beforeAutospacing="0" w:after="0" w:afterAutospacing="0"/>
      </w:pPr>
    </w:p>
    <w:p w:rsidR="006A3B63" w:rsidRPr="00A3256D" w:rsidRDefault="006A3B63" w:rsidP="006A3B63">
      <w:pPr>
        <w:pStyle w:val="NormlWeb"/>
        <w:spacing w:before="0" w:beforeAutospacing="0" w:after="0" w:afterAutospacing="0"/>
        <w:jc w:val="center"/>
      </w:pPr>
      <w:r w:rsidRPr="00AF0C4C">
        <w:rPr>
          <w:b/>
          <w:sz w:val="28"/>
          <w:szCs w:val="28"/>
        </w:rPr>
        <w:t>Social Sciences &amp; Humanities</w:t>
      </w:r>
    </w:p>
    <w:p w:rsidR="006A3B63" w:rsidRPr="00AF0C4C" w:rsidRDefault="006A3B63" w:rsidP="006A3B63">
      <w:pPr>
        <w:pStyle w:val="Norm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3B63" w:rsidRPr="00AF0C4C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AF0C4C">
        <w:rPr>
          <w:b/>
        </w:rPr>
        <w:t>SH1  Markets</w:t>
      </w:r>
      <w:proofErr w:type="gramEnd"/>
      <w:r w:rsidRPr="00AF0C4C">
        <w:rPr>
          <w:b/>
        </w:rPr>
        <w:t>, Individuals and Institutions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lastRenderedPageBreak/>
        <w:t>Economics, finance and management.</w:t>
      </w:r>
    </w:p>
    <w:p w:rsidR="006A3B63" w:rsidRPr="00AF0C4C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AF0C4C">
        <w:rPr>
          <w:b/>
        </w:rPr>
        <w:t>SH2  The</w:t>
      </w:r>
      <w:proofErr w:type="gramEnd"/>
      <w:r w:rsidRPr="00AF0C4C">
        <w:rPr>
          <w:b/>
        </w:rPr>
        <w:t xml:space="preserve"> Social World, Diversity, Institutions and Values 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>Sociology, political science, law, communication, education.</w:t>
      </w:r>
    </w:p>
    <w:p w:rsidR="006A3B63" w:rsidRPr="00AF0C4C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AF0C4C">
        <w:rPr>
          <w:b/>
        </w:rPr>
        <w:t>SH3  Environment</w:t>
      </w:r>
      <w:proofErr w:type="gramEnd"/>
      <w:r w:rsidRPr="00AF0C4C">
        <w:rPr>
          <w:b/>
        </w:rPr>
        <w:t xml:space="preserve">, Space and Population 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>Sustainability science, demography, geography, regional studies and planning, science and technology studies.</w:t>
      </w:r>
    </w:p>
    <w:p w:rsidR="006A3B63" w:rsidRPr="00AF0C4C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AF0C4C">
        <w:rPr>
          <w:b/>
        </w:rPr>
        <w:t>SH4  The</w:t>
      </w:r>
      <w:proofErr w:type="gramEnd"/>
      <w:r w:rsidRPr="00AF0C4C">
        <w:rPr>
          <w:b/>
        </w:rPr>
        <w:t xml:space="preserve"> Human Mind and Its Complexity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>Cognitive science, psychology, linguistics, philosophy of mind, education.</w:t>
      </w:r>
    </w:p>
    <w:p w:rsidR="006A3B63" w:rsidRPr="00AF0C4C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AF0C4C">
        <w:rPr>
          <w:b/>
        </w:rPr>
        <w:t>SH5  Cultures</w:t>
      </w:r>
      <w:proofErr w:type="gramEnd"/>
      <w:r w:rsidRPr="00AF0C4C">
        <w:rPr>
          <w:b/>
        </w:rPr>
        <w:t xml:space="preserve"> and Cultural Production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>Literature, philology, cultural studies, anthropology, arts, philosophy.</w:t>
      </w:r>
    </w:p>
    <w:p w:rsidR="006A3B63" w:rsidRPr="00AF0C4C" w:rsidRDefault="006A3B63" w:rsidP="006A3B63">
      <w:pPr>
        <w:pStyle w:val="NormlWeb"/>
        <w:spacing w:before="0" w:beforeAutospacing="0" w:after="0" w:afterAutospacing="0"/>
        <w:rPr>
          <w:b/>
        </w:rPr>
      </w:pPr>
      <w:proofErr w:type="gramStart"/>
      <w:r w:rsidRPr="00AF0C4C">
        <w:rPr>
          <w:b/>
        </w:rPr>
        <w:t>SH6  The</w:t>
      </w:r>
      <w:proofErr w:type="gramEnd"/>
      <w:r w:rsidRPr="00AF0C4C">
        <w:rPr>
          <w:b/>
        </w:rPr>
        <w:t xml:space="preserve"> Study of the Human Past</w:t>
      </w:r>
    </w:p>
    <w:p w:rsidR="006A3B63" w:rsidRDefault="006A3B63" w:rsidP="006A3B63">
      <w:pPr>
        <w:pStyle w:val="NormlWeb"/>
        <w:spacing w:before="0" w:beforeAutospacing="0" w:after="0" w:afterAutospacing="0"/>
      </w:pPr>
      <w:r>
        <w:t>Archaeology and history.</w:t>
      </w:r>
    </w:p>
    <w:p w:rsidR="006A3B63" w:rsidRDefault="006A3B63" w:rsidP="006A3B63">
      <w:pPr>
        <w:pStyle w:val="NormlWeb"/>
      </w:pPr>
    </w:p>
    <w:sectPr w:rsidR="006A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4C0F"/>
    <w:multiLevelType w:val="hybridMultilevel"/>
    <w:tmpl w:val="11B00C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60B89"/>
    <w:multiLevelType w:val="hybridMultilevel"/>
    <w:tmpl w:val="76561B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E2578"/>
    <w:multiLevelType w:val="hybridMultilevel"/>
    <w:tmpl w:val="6276D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2531F"/>
    <w:multiLevelType w:val="hybridMultilevel"/>
    <w:tmpl w:val="18B8C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146F7"/>
    <w:multiLevelType w:val="hybridMultilevel"/>
    <w:tmpl w:val="A3081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05AA8"/>
    <w:multiLevelType w:val="hybridMultilevel"/>
    <w:tmpl w:val="3A287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43508"/>
    <w:multiLevelType w:val="hybridMultilevel"/>
    <w:tmpl w:val="5644EE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D7171"/>
    <w:multiLevelType w:val="hybridMultilevel"/>
    <w:tmpl w:val="A9663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C72E5"/>
    <w:multiLevelType w:val="hybridMultilevel"/>
    <w:tmpl w:val="D57A30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D4221"/>
    <w:multiLevelType w:val="hybridMultilevel"/>
    <w:tmpl w:val="4A0ABB06"/>
    <w:lvl w:ilvl="0" w:tplc="1284D7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96D8E"/>
    <w:multiLevelType w:val="hybridMultilevel"/>
    <w:tmpl w:val="C98A67D4"/>
    <w:lvl w:ilvl="0" w:tplc="1284D7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74DE2"/>
    <w:multiLevelType w:val="hybridMultilevel"/>
    <w:tmpl w:val="15A835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FF"/>
    <w:rsid w:val="00012CEB"/>
    <w:rsid w:val="000B6E6E"/>
    <w:rsid w:val="000C6638"/>
    <w:rsid w:val="00110A3A"/>
    <w:rsid w:val="0018081D"/>
    <w:rsid w:val="002175FF"/>
    <w:rsid w:val="00257E9C"/>
    <w:rsid w:val="002A6443"/>
    <w:rsid w:val="002F6EB0"/>
    <w:rsid w:val="0039247F"/>
    <w:rsid w:val="004471A0"/>
    <w:rsid w:val="00473DA2"/>
    <w:rsid w:val="004B7CB5"/>
    <w:rsid w:val="004E0EEE"/>
    <w:rsid w:val="004F614E"/>
    <w:rsid w:val="00523BD1"/>
    <w:rsid w:val="00532DF0"/>
    <w:rsid w:val="00535BAF"/>
    <w:rsid w:val="006123D4"/>
    <w:rsid w:val="00630152"/>
    <w:rsid w:val="006A3B63"/>
    <w:rsid w:val="006D6F73"/>
    <w:rsid w:val="00722EC7"/>
    <w:rsid w:val="00741D6C"/>
    <w:rsid w:val="00755822"/>
    <w:rsid w:val="0077000F"/>
    <w:rsid w:val="00772213"/>
    <w:rsid w:val="00786547"/>
    <w:rsid w:val="00793B32"/>
    <w:rsid w:val="007E2401"/>
    <w:rsid w:val="007F7184"/>
    <w:rsid w:val="00854CED"/>
    <w:rsid w:val="00931CD3"/>
    <w:rsid w:val="0094196F"/>
    <w:rsid w:val="00957B03"/>
    <w:rsid w:val="009853E6"/>
    <w:rsid w:val="00991E74"/>
    <w:rsid w:val="0099658E"/>
    <w:rsid w:val="009A31CB"/>
    <w:rsid w:val="009B4D33"/>
    <w:rsid w:val="009E45A0"/>
    <w:rsid w:val="00A02339"/>
    <w:rsid w:val="00A20CC9"/>
    <w:rsid w:val="00A702DF"/>
    <w:rsid w:val="00A97191"/>
    <w:rsid w:val="00AB1ED4"/>
    <w:rsid w:val="00B24901"/>
    <w:rsid w:val="00B30F32"/>
    <w:rsid w:val="00B33493"/>
    <w:rsid w:val="00B60BDC"/>
    <w:rsid w:val="00B64ADD"/>
    <w:rsid w:val="00B735C4"/>
    <w:rsid w:val="00B866C1"/>
    <w:rsid w:val="00BA704B"/>
    <w:rsid w:val="00C17E7E"/>
    <w:rsid w:val="00C34ECD"/>
    <w:rsid w:val="00C41A00"/>
    <w:rsid w:val="00C5016E"/>
    <w:rsid w:val="00C66DF2"/>
    <w:rsid w:val="00D14F5E"/>
    <w:rsid w:val="00D2701F"/>
    <w:rsid w:val="00D41019"/>
    <w:rsid w:val="00DA224C"/>
    <w:rsid w:val="00DA5F98"/>
    <w:rsid w:val="00E05455"/>
    <w:rsid w:val="00E11D6D"/>
    <w:rsid w:val="00E13566"/>
    <w:rsid w:val="00E14816"/>
    <w:rsid w:val="00E16D77"/>
    <w:rsid w:val="00E54C84"/>
    <w:rsid w:val="00E65B95"/>
    <w:rsid w:val="00EA57DB"/>
    <w:rsid w:val="00EB2D13"/>
    <w:rsid w:val="00F02026"/>
    <w:rsid w:val="00F06C6A"/>
    <w:rsid w:val="00F4532C"/>
    <w:rsid w:val="00F478FF"/>
    <w:rsid w:val="00F97787"/>
    <w:rsid w:val="00F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18FEC-2433-4774-AF6F-30E91BEA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4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478F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478FF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C34ECD"/>
    <w:rPr>
      <w:i/>
      <w:iCs/>
    </w:rPr>
  </w:style>
  <w:style w:type="character" w:customStyle="1" w:styleId="element-invisible">
    <w:name w:val="element-invisible"/>
    <w:basedOn w:val="Bekezdsalapbettpusa"/>
    <w:rsid w:val="00C34ECD"/>
  </w:style>
  <w:style w:type="paragraph" w:styleId="Listaszerbekezds">
    <w:name w:val="List Paragraph"/>
    <w:basedOn w:val="Norml"/>
    <w:uiPriority w:val="34"/>
    <w:qFormat/>
    <w:rsid w:val="0078654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E16D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data/ref/h2020/wp/2014_2015/erc/h2020-wp15-erc_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c.europa.eu/research/participants/portal/desktop/en/opportunities/h2020/topics/9063-erc-cog-2015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solya.kiss@ttk.elte.hu" TargetMode="External"/><Relationship Id="rId11" Type="http://schemas.openxmlformats.org/officeDocument/2006/relationships/hyperlink" Target="http://www.elt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c.europa.eu/research/participants/data/support/sep_usermanu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research/participants/portal/doc/call/h2020/erc-2015-stg/1630105-info_for_applicants_stg_-_cog_2015_final_24102014_en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2113-1330-4E07-95B6-0187AA60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2005</Words>
  <Characters>13837</Characters>
  <Application>Microsoft Office Word</Application>
  <DocSecurity>4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Lengyel Tamás</cp:lastModifiedBy>
  <cp:revision>2</cp:revision>
  <dcterms:created xsi:type="dcterms:W3CDTF">2014-11-27T10:05:00Z</dcterms:created>
  <dcterms:modified xsi:type="dcterms:W3CDTF">2014-11-27T10:05:00Z</dcterms:modified>
</cp:coreProperties>
</file>